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400" w:lineRule="auto"/>
        <w:rPr>
          <w:color w:val="000000"/>
        </w:rPr>
      </w:pPr>
      <w:r w:rsidDel="00000000" w:rsidR="00000000" w:rsidRPr="00000000">
        <w:rPr>
          <w:rtl w:val="0"/>
        </w:rPr>
      </w:r>
    </w:p>
    <w:p w:rsidR="00000000" w:rsidDel="00000000" w:rsidP="00000000" w:rsidRDefault="00000000" w:rsidRPr="00000000" w14:paraId="00000002">
      <w:pPr>
        <w:spacing w:after="160" w:before="0" w:lineRule="auto"/>
        <w:jc w:val="center"/>
        <w:rPr>
          <w:sz w:val="32"/>
          <w:szCs w:val="32"/>
        </w:rPr>
      </w:pPr>
      <w:r w:rsidDel="00000000" w:rsidR="00000000" w:rsidRPr="00000000">
        <w:rPr>
          <w:b w:val="1"/>
          <w:bCs w:val="1"/>
          <w:color w:val="000000"/>
          <w:sz w:val="32"/>
          <w:szCs w:val="32"/>
          <w:rtl w:val="0"/>
        </w:rPr>
        <w:t xml:space="preserve">ESERCITAZIONE </w:t>
      </w:r>
      <w:r w:rsidDel="00000000" w:rsidR="00000000" w:rsidRPr="00000000">
        <w:rPr>
          <w:b w:val="1"/>
          <w:bCs w:val="1"/>
          <w:color w:val="000000"/>
          <w:sz w:val="32"/>
          <w:szCs w:val="32"/>
          <w:shd w:fill="auto" w:val="clear"/>
          <w:rtl w:val="0"/>
        </w:rPr>
        <w:t xml:space="preserve">”TABLETOP”</w:t>
      </w:r>
      <w:r w:rsidDel="00000000" w:rsidR="00000000" w:rsidRPr="00000000">
        <w:rPr>
          <w:rtl w:val="0"/>
        </w:rPr>
      </w:r>
    </w:p>
    <w:p w:rsidR="00000000" w:rsidDel="00000000" w:rsidP="00000000" w:rsidRDefault="00000000" w:rsidRPr="00000000" w14:paraId="00000003">
      <w:pPr>
        <w:spacing w:after="200" w:before="0" w:lineRule="auto"/>
        <w:jc w:val="center"/>
        <w:rPr>
          <w:sz w:val="32"/>
          <w:szCs w:val="32"/>
        </w:rPr>
      </w:pPr>
      <w:r w:rsidDel="00000000" w:rsidR="00000000" w:rsidRPr="00000000">
        <w:rPr>
          <w:b w:val="1"/>
          <w:bCs w:val="1"/>
          <w:color w:val="000000"/>
          <w:sz w:val="32"/>
          <w:szCs w:val="32"/>
          <w:rtl w:val="0"/>
        </w:rPr>
        <w:t xml:space="preserve">DI CYBERSICUREZZA</w:t>
      </w:r>
      <w:r w:rsidDel="00000000" w:rsidR="00000000" w:rsidRPr="00000000">
        <w:rPr>
          <w:rtl w:val="0"/>
        </w:rPr>
      </w:r>
    </w:p>
    <w:p w:rsidR="00000000" w:rsidDel="00000000" w:rsidP="00000000" w:rsidRDefault="00000000" w:rsidRPr="00000000" w14:paraId="00000004">
      <w:pPr>
        <w:spacing w:after="600" w:before="0" w:lineRule="auto"/>
        <w:jc w:val="center"/>
        <w:rPr>
          <w:b w:val="1"/>
          <w:bCs w:val="1"/>
          <w:sz w:val="26"/>
          <w:szCs w:val="26"/>
        </w:rPr>
      </w:pPr>
      <w:r w:rsidDel="00000000" w:rsidR="00000000" w:rsidRPr="00000000">
        <w:rPr>
          <w:i w:val="1"/>
          <w:iCs w:val="1"/>
          <w:color w:val="000000"/>
          <w:sz w:val="28"/>
          <w:szCs w:val="28"/>
          <w:rtl w:val="0"/>
        </w:rPr>
        <w:t xml:space="preserve">Proposta di servizio per i Comuni</w:t>
      </w:r>
      <w:r w:rsidDel="00000000" w:rsidR="00000000" w:rsidRPr="00000000">
        <w:rPr>
          <w:rtl w:val="0"/>
        </w:rPr>
      </w:r>
    </w:p>
    <w:p w:rsidR="00000000" w:rsidDel="00000000" w:rsidP="00000000" w:rsidRDefault="00000000" w:rsidRPr="00000000" w14:paraId="00000005">
      <w:pPr>
        <w:spacing w:after="80" w:before="80" w:lineRule="auto"/>
        <w:rPr>
          <w:color w:val="000000"/>
        </w:rPr>
      </w:pPr>
      <w:r w:rsidDel="00000000" w:rsidR="00000000" w:rsidRPr="00000000">
        <w:rPr>
          <w:color w:val="000000"/>
          <w:sz w:val="22"/>
          <w:szCs w:val="22"/>
          <w:rtl w:val="0"/>
        </w:rPr>
        <w:t xml:space="preserve">Gli attacchi informatici contro gli enti locali sono in costante aumento. Ransomware, blocchi dei sistemi gestionali, violazioni di dati sensibili: scenari che non riguardano più solo le grandi amministrazioni, ma qualsiasi Comune, indipendentemente dalla dimensione.</w:t>
      </w:r>
      <w:r w:rsidDel="00000000" w:rsidR="00000000" w:rsidRPr="00000000">
        <w:rPr>
          <w:rtl w:val="0"/>
        </w:rPr>
      </w:r>
    </w:p>
    <w:p w:rsidR="00000000" w:rsidDel="00000000" w:rsidP="00000000" w:rsidRDefault="00000000" w:rsidRPr="00000000" w14:paraId="00000006">
      <w:pPr>
        <w:spacing w:after="0" w:before="60" w:lineRule="auto"/>
        <w:rPr>
          <w:color w:val="000000"/>
        </w:rPr>
      </w:pPr>
      <w:r w:rsidDel="00000000" w:rsidR="00000000" w:rsidRPr="00000000">
        <w:rPr>
          <w:rtl w:val="0"/>
        </w:rPr>
      </w:r>
    </w:p>
    <w:p w:rsidR="00000000" w:rsidDel="00000000" w:rsidP="00000000" w:rsidRDefault="00000000" w:rsidRPr="00000000" w14:paraId="00000007">
      <w:pPr>
        <w:spacing w:after="80" w:before="80" w:lineRule="auto"/>
        <w:rPr>
          <w:color w:val="000000"/>
        </w:rPr>
      </w:pPr>
      <w:r w:rsidDel="00000000" w:rsidR="00000000" w:rsidRPr="00000000">
        <w:rPr>
          <w:color w:val="000000"/>
          <w:sz w:val="22"/>
          <w:szCs w:val="22"/>
          <w:rtl w:val="0"/>
        </w:rPr>
        <w:t xml:space="preserve">La risposta efficace a un incidente cyber non dipende soltanto dalla tecnologia disponibile: dipende dalla capacità delle persone di coordinarsi, decidere rapidamente e comunicare in modo corretto sotto pressione. Questa capacità si costruisce solo con la pratica.</w:t>
      </w:r>
      <w:r w:rsidDel="00000000" w:rsidR="00000000" w:rsidRPr="00000000">
        <w:rPr>
          <w:rtl w:val="0"/>
        </w:rPr>
      </w:r>
    </w:p>
    <w:p w:rsidR="00000000" w:rsidDel="00000000" w:rsidP="00000000" w:rsidRDefault="00000000" w:rsidRPr="00000000" w14:paraId="00000008">
      <w:pPr>
        <w:spacing w:after="80" w:before="80" w:lineRule="auto"/>
        <w:rPr>
          <w:color w:val="000000"/>
        </w:rPr>
      </w:pPr>
      <w:r w:rsidDel="00000000" w:rsidR="00000000" w:rsidRPr="00000000">
        <w:rPr>
          <w:rtl w:val="0"/>
        </w:rPr>
      </w:r>
    </w:p>
    <w:p w:rsidR="00000000" w:rsidDel="00000000" w:rsidP="00000000" w:rsidRDefault="00000000" w:rsidRPr="00000000" w14:paraId="00000009">
      <w:pPr>
        <w:spacing w:after="80" w:before="80" w:lineRule="auto"/>
        <w:rPr>
          <w:color w:val="000000"/>
          <w:sz w:val="22"/>
          <w:szCs w:val="22"/>
          <w:shd w:fill="auto" w:val="clear"/>
        </w:rPr>
      </w:pPr>
      <w:r w:rsidDel="00000000" w:rsidR="00000000" w:rsidRPr="00000000">
        <w:rPr>
          <w:color w:val="000000"/>
          <w:sz w:val="22"/>
          <w:szCs w:val="22"/>
          <w:shd w:fill="auto" w:val="clear"/>
          <w:rtl w:val="0"/>
        </w:rPr>
        <w:t xml:space="preserve">Così come per gli altri rischi gestiti dagli uffici di protezione civile, anche in tema di rischi cyber risulta efficace effettuare esercitazioni di tipo realistico (con la simulazione di una reale situazione di attacco – ovviamente a scopo benevolo) che, nella modalità “a tavolino” (tabletop), prevedono che l’evento, nelle sue diverse fasi evolutive, venga ipotizzato come stimolo alla discussione tra tutti i soggetti interessati, al fine di comprendere cosa potrebbe accadere in una situazione reale, focalizzare le criticità del sistema e individuare le azioni necessarie a migliorare la postura di sicurezza dell’organizzazione.</w:t>
      </w:r>
    </w:p>
    <w:p w:rsidR="00000000" w:rsidDel="00000000" w:rsidP="00000000" w:rsidRDefault="00000000" w:rsidRPr="00000000" w14:paraId="0000000A">
      <w:pPr>
        <w:spacing w:after="0" w:before="60" w:lineRule="auto"/>
        <w:rPr>
          <w:color w:val="000000"/>
        </w:rPr>
      </w:pPr>
      <w:r w:rsidDel="00000000" w:rsidR="00000000" w:rsidRPr="00000000">
        <w:rPr>
          <w:rtl w:val="0"/>
        </w:rPr>
      </w:r>
    </w:p>
    <w:p w:rsidR="00000000" w:rsidDel="00000000" w:rsidP="00000000" w:rsidRDefault="00000000" w:rsidRPr="00000000" w14:paraId="0000000B">
      <w:pPr>
        <w:spacing w:after="80" w:before="80" w:lineRule="auto"/>
        <w:rPr>
          <w:color w:val="000000"/>
        </w:rPr>
      </w:pPr>
      <w:r w:rsidDel="00000000" w:rsidR="00000000" w:rsidRPr="00000000">
        <w:rPr>
          <w:color w:val="000000"/>
          <w:sz w:val="22"/>
          <w:szCs w:val="22"/>
          <w:rtl w:val="0"/>
        </w:rPr>
        <w:t xml:space="preserve">L'esercitazione “tabletop” offre al Comune uno spazio sicuro per testare esattamente questo: nessun sistema reale viene coinvolto, nessun servizio viene interrotto. Solo le persone, i ruoli e i processi decisionali messi alla prova in modo realistico.</w:t>
      </w:r>
      <w:r w:rsidDel="00000000" w:rsidR="00000000" w:rsidRPr="00000000">
        <w:rPr>
          <w:rtl w:val="0"/>
        </w:rPr>
      </w:r>
    </w:p>
    <w:p w:rsidR="00000000" w:rsidDel="00000000" w:rsidP="00000000" w:rsidRDefault="00000000" w:rsidRPr="00000000" w14:paraId="0000000C">
      <w:pPr>
        <w:spacing w:after="0" w:before="200" w:lineRule="auto"/>
        <w:rPr>
          <w:color w:val="00000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84"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sz w:val="21"/>
          <w:szCs w:val="21"/>
          <w:rtl w:val="0"/>
        </w:rPr>
        <w:t xml:space="preserve">Descrizione sintetica:</w:t>
      </w:r>
      <w:r w:rsidDel="00000000" w:rsidR="00000000" w:rsidRPr="00000000">
        <w:rPr>
          <w:rtl w:val="0"/>
        </w:rPr>
      </w:r>
    </w:p>
    <w:tbl>
      <w:tblPr>
        <w:tblStyle w:val="Table1"/>
        <w:tblW w:w="9506.0" w:type="dxa"/>
        <w:jc w:val="left"/>
        <w:tblInd w:w="-5.0" w:type="dxa"/>
        <w:tblLayout w:type="fixed"/>
        <w:tblLook w:val="0000"/>
      </w:tblPr>
      <w:tblGrid>
        <w:gridCol w:w="3168"/>
        <w:gridCol w:w="3169"/>
        <w:gridCol w:w="3169"/>
        <w:tblGridChange w:id="0">
          <w:tblGrid>
            <w:gridCol w:w="3168"/>
            <w:gridCol w:w="3169"/>
            <w:gridCol w:w="3169"/>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Arial" w:cs="Arial" w:eastAsia="Arial" w:hAnsi="Arial"/>
                <w:b w:val="0"/>
                <w:bCs w:val="0"/>
                <w:i w:val="0"/>
                <w:iCs w:val="0"/>
                <w:smallCaps w:val="0"/>
                <w:strike w:val="0"/>
                <w:color w:val="3d3d3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d3d3a"/>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3d3d3a"/>
                <w:sz w:val="20"/>
                <w:szCs w:val="20"/>
                <w:u w:val="none"/>
                <w:shd w:fill="auto" w:val="clear"/>
                <w:vertAlign w:val="baseline"/>
                <w:rtl w:val="0"/>
              </w:rPr>
              <w:t xml:space="preserve">Destinatari</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Arial" w:cs="Arial" w:eastAsia="Arial" w:hAnsi="Arial"/>
                <w:b w:val="0"/>
                <w:bCs w:val="0"/>
                <w:i w:val="0"/>
                <w:iCs w:val="0"/>
                <w:smallCaps w:val="0"/>
                <w:strike w:val="0"/>
                <w:color w:val="14141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141413"/>
                <w:sz w:val="21"/>
                <w:szCs w:val="21"/>
                <w:u w:val="none"/>
                <w:shd w:fill="auto" w:val="clear"/>
                <w:vertAlign w:val="baseline"/>
                <w:rtl w:val="0"/>
              </w:rPr>
              <w:t xml:space="preserve">Comuni singoli e Unioni di Comuni</w:t>
            </w:r>
          </w:p>
        </w:tc>
        <w:tc>
          <w:tcPr>
            <w:tcBorders>
              <w:top w:color="000000" w:space="0" w:sz="4" w:val="single"/>
              <w:bottom w:color="000000" w:space="0" w:sz="4" w:val="single"/>
            </w:tcBorders>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Arial" w:cs="Arial" w:eastAsia="Arial" w:hAnsi="Arial"/>
                <w:b w:val="0"/>
                <w:bCs w:val="0"/>
                <w:i w:val="0"/>
                <w:iCs w:val="0"/>
                <w:smallCaps w:val="0"/>
                <w:strike w:val="0"/>
                <w:color w:val="3d3d3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3d3d3a"/>
                <w:sz w:val="20"/>
                <w:szCs w:val="20"/>
                <w:u w:val="none"/>
                <w:shd w:fill="auto" w:val="clear"/>
                <w:vertAlign w:val="baseline"/>
                <w:rtl w:val="0"/>
              </w:rPr>
              <w:t xml:space="preserve">Durata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Arial" w:cs="Arial" w:eastAsia="Arial" w:hAnsi="Arial"/>
                <w:b w:val="0"/>
                <w:bCs w:val="0"/>
                <w:i w:val="0"/>
                <w:iCs w:val="0"/>
                <w:smallCaps w:val="0"/>
                <w:strike w:val="0"/>
                <w:color w:val="14141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141413"/>
                <w:sz w:val="21"/>
                <w:szCs w:val="21"/>
                <w:u w:val="none"/>
                <w:shd w:fill="auto" w:val="clear"/>
                <w:vertAlign w:val="baseline"/>
                <w:rtl w:val="0"/>
              </w:rPr>
              <w:t xml:space="preserve">3–4 ore in presenza + colloquio preparatorio</w:t>
            </w:r>
          </w:p>
        </w:tc>
        <w:tc>
          <w:tcPr>
            <w:tcBorders>
              <w:top w:color="000000" w:space="0" w:sz="4" w:val="single"/>
              <w:bottom w:color="000000" w:space="0" w:sz="4" w:val="single"/>
            </w:tcBorders>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Arial" w:cs="Arial" w:eastAsia="Arial" w:hAnsi="Arial"/>
                <w:b w:val="0"/>
                <w:bCs w:val="0"/>
                <w:i w:val="0"/>
                <w:iCs w:val="0"/>
                <w:smallCaps w:val="0"/>
                <w:strike w:val="0"/>
                <w:color w:val="3d3d3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3d3d3a"/>
                <w:sz w:val="20"/>
                <w:szCs w:val="20"/>
                <w:u w:val="none"/>
                <w:shd w:fill="auto" w:val="clear"/>
                <w:vertAlign w:val="baseline"/>
                <w:rtl w:val="0"/>
              </w:rPr>
              <w:t xml:space="preserve">Output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0" w:right="0" w:firstLine="0"/>
              <w:jc w:val="left"/>
              <w:rPr>
                <w:rFonts w:ascii="Arial" w:cs="Arial" w:eastAsia="Arial" w:hAnsi="Arial"/>
                <w:b w:val="0"/>
                <w:bCs w:val="0"/>
                <w:i w:val="0"/>
                <w:iCs w:val="0"/>
                <w:smallCaps w:val="0"/>
                <w:strike w:val="0"/>
                <w:color w:val="141413"/>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141413"/>
                <w:sz w:val="21"/>
                <w:szCs w:val="21"/>
                <w:u w:val="none"/>
                <w:shd w:fill="auto" w:val="clear"/>
                <w:vertAlign w:val="baseline"/>
                <w:rtl w:val="0"/>
              </w:rPr>
              <w:t xml:space="preserve">Report con azioni correttive prioritizzate</w:t>
            </w:r>
          </w:p>
        </w:tc>
      </w:tr>
    </w:tbl>
    <w:p w:rsidR="00000000" w:rsidDel="00000000" w:rsidP="00000000" w:rsidRDefault="00000000" w:rsidRPr="00000000" w14:paraId="00000014">
      <w:pPr>
        <w:spacing w:after="0" w:before="400" w:lineRule="auto"/>
        <w:rPr>
          <w:rFonts w:ascii="Arial" w:cs="Arial" w:eastAsia="Arial" w:hAnsi="Arial"/>
          <w:color w:val="000000"/>
        </w:rPr>
      </w:pPr>
      <w:r w:rsidDel="00000000" w:rsidR="00000000" w:rsidRPr="00000000">
        <w:rPr>
          <w:rtl w:val="0"/>
        </w:rPr>
      </w:r>
    </w:p>
    <w:tbl>
      <w:tblPr>
        <w:tblStyle w:val="Table2"/>
        <w:tblW w:w="9506.0" w:type="dxa"/>
        <w:jc w:val="left"/>
        <w:tblLayout w:type="fixed"/>
        <w:tblLook w:val="0000"/>
      </w:tblPr>
      <w:tblGrid>
        <w:gridCol w:w="4752"/>
        <w:gridCol w:w="4754"/>
        <w:tblGridChange w:id="0">
          <w:tblGrid>
            <w:gridCol w:w="4752"/>
            <w:gridCol w:w="4754"/>
          </w:tblGrid>
        </w:tblGridChange>
      </w:tblGrid>
      <w:tr>
        <w:trPr>
          <w:cantSplit w:val="0"/>
          <w:tblHeader w:val="0"/>
        </w:trPr>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185fa5"/>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185fa5"/>
                <w:sz w:val="20"/>
                <w:szCs w:val="20"/>
                <w:u w:val="none"/>
                <w:shd w:fill="auto" w:val="clear"/>
                <w:vertAlign w:val="baseline"/>
                <w:rtl w:val="0"/>
              </w:rPr>
              <w:t xml:space="preserve">Obiettivi</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84" w:lineRule="auto"/>
              <w:ind w:left="3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41413"/>
                <w:sz w:val="20"/>
                <w:szCs w:val="20"/>
                <w:u w:val="none"/>
                <w:shd w:fill="auto" w:val="clear"/>
                <w:vertAlign w:val="baseline"/>
                <w:rtl w:val="0"/>
              </w:rPr>
              <w:t xml:space="preserve">Verificare la capacità di risposta a incidenti reali (ransomware, blocco servizi, data breach)</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84" w:lineRule="auto"/>
              <w:ind w:left="3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41413"/>
                <w:sz w:val="20"/>
                <w:szCs w:val="20"/>
                <w:u w:val="none"/>
                <w:shd w:fill="auto" w:val="clear"/>
                <w:vertAlign w:val="baseline"/>
                <w:rtl w:val="0"/>
              </w:rPr>
              <w:t xml:space="preserve">Far emergere criticità in ruoli, procedure e comunicazione di crisi</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84" w:lineRule="auto"/>
              <w:ind w:left="3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41413"/>
                <w:sz w:val="20"/>
                <w:szCs w:val="20"/>
                <w:u w:val="none"/>
                <w:shd w:fill="auto" w:val="clear"/>
                <w:vertAlign w:val="baseline"/>
                <w:rtl w:val="0"/>
              </w:rPr>
              <w:t xml:space="preserve">Produrre una base per aggiornare piani di continuità e policy ICT</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185fa5"/>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185fa5"/>
                <w:sz w:val="20"/>
                <w:szCs w:val="20"/>
                <w:u w:val="none"/>
                <w:shd w:fill="auto" w:val="clear"/>
                <w:vertAlign w:val="baseline"/>
                <w:rtl w:val="0"/>
              </w:rPr>
              <w:t xml:space="preserve">Chi coinvolge</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84" w:lineRule="auto"/>
              <w:ind w:left="720" w:right="0" w:hanging="360"/>
              <w:jc w:val="left"/>
              <w:rPr>
                <w:rFonts w:ascii="Arial" w:cs="Arial" w:eastAsia="Arial" w:hAnsi="Arial"/>
                <w:b w:val="0"/>
                <w:bCs w:val="0"/>
                <w:i w:val="0"/>
                <w:iCs w:val="0"/>
                <w:smallCaps w:val="0"/>
                <w:strike w:val="0"/>
                <w:color w:val="141413"/>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41413"/>
                <w:sz w:val="20"/>
                <w:szCs w:val="20"/>
                <w:u w:val="none"/>
                <w:shd w:fill="auto" w:val="clear"/>
                <w:vertAlign w:val="baseline"/>
                <w:rtl w:val="0"/>
              </w:rPr>
              <w:t xml:space="preserve">Sindaco, Assessori, Giunta</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84" w:lineRule="auto"/>
              <w:ind w:left="720" w:right="0" w:hanging="360"/>
              <w:jc w:val="left"/>
              <w:rPr>
                <w:rFonts w:ascii="Arial" w:cs="Arial" w:eastAsia="Arial" w:hAnsi="Arial"/>
                <w:b w:val="0"/>
                <w:bCs w:val="0"/>
                <w:i w:val="0"/>
                <w:iCs w:val="0"/>
                <w:smallCaps w:val="0"/>
                <w:strike w:val="0"/>
                <w:color w:val="141413"/>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41413"/>
                <w:sz w:val="20"/>
                <w:szCs w:val="20"/>
                <w:u w:val="none"/>
                <w:shd w:fill="auto" w:val="clear"/>
                <w:vertAlign w:val="baseline"/>
                <w:rtl w:val="0"/>
              </w:rPr>
              <w:t xml:space="preserve">Segretario Comunale, Direttore, Responsabili servizio</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84" w:lineRule="auto"/>
              <w:ind w:left="720" w:right="0" w:hanging="360"/>
              <w:jc w:val="left"/>
              <w:rPr>
                <w:rFonts w:ascii="Arial" w:cs="Arial" w:eastAsia="Arial" w:hAnsi="Arial"/>
                <w:b w:val="0"/>
                <w:bCs w:val="0"/>
                <w:i w:val="0"/>
                <w:iCs w:val="0"/>
                <w:smallCaps w:val="0"/>
                <w:strike w:val="0"/>
                <w:color w:val="141413"/>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41413"/>
                <w:sz w:val="20"/>
                <w:szCs w:val="20"/>
                <w:u w:val="none"/>
                <w:shd w:fill="auto" w:val="clear"/>
                <w:vertAlign w:val="baseline"/>
                <w:rtl w:val="0"/>
              </w:rPr>
              <w:t xml:space="preserve">RTD, DPO, Responsabile ICT/CED</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84" w:lineRule="auto"/>
              <w:ind w:left="720" w:right="0" w:hanging="360"/>
              <w:jc w:val="left"/>
              <w:rPr>
                <w:rFonts w:ascii="Arial" w:cs="Arial" w:eastAsia="Arial" w:hAnsi="Arial"/>
                <w:b w:val="0"/>
                <w:bCs w:val="0"/>
                <w:i w:val="0"/>
                <w:iCs w:val="0"/>
                <w:smallCaps w:val="0"/>
                <w:strike w:val="0"/>
                <w:color w:val="141413"/>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41413"/>
                <w:sz w:val="20"/>
                <w:szCs w:val="20"/>
                <w:u w:val="none"/>
                <w:shd w:fill="auto" w:val="clear"/>
                <w:vertAlign w:val="baseline"/>
                <w:rtl w:val="0"/>
              </w:rPr>
              <w:t xml:space="preserve">Soggetto esterno di supporto</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84" w:lineRule="auto"/>
              <w:ind w:left="720" w:right="0" w:hanging="360"/>
              <w:jc w:val="left"/>
              <w:rPr>
                <w:rFonts w:ascii="Arial" w:cs="Arial" w:eastAsia="Arial" w:hAnsi="Arial"/>
                <w:b w:val="0"/>
                <w:bCs w:val="0"/>
                <w:i w:val="0"/>
                <w:iCs w:val="0"/>
                <w:smallCaps w:val="0"/>
                <w:strike w:val="0"/>
                <w:color w:val="141413"/>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41413"/>
                <w:sz w:val="20"/>
                <w:szCs w:val="20"/>
                <w:u w:val="none"/>
                <w:shd w:fill="auto" w:val="clear"/>
                <w:vertAlign w:val="baseline"/>
                <w:rtl w:val="0"/>
              </w:rPr>
              <w:t xml:space="preserve">Responsabile Comunicazione istituzionale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1">
      <w:pPr>
        <w:spacing w:after="0" w:before="400" w:lineRule="auto"/>
        <w:rPr>
          <w:rFonts w:ascii="Arial" w:cs="Arial" w:eastAsia="Arial" w:hAnsi="Arial"/>
          <w:color w:val="000000"/>
        </w:rPr>
      </w:pPr>
      <w:r w:rsidDel="00000000" w:rsidR="00000000" w:rsidRPr="00000000">
        <w:rPr>
          <w:rtl w:val="0"/>
        </w:rPr>
      </w:r>
    </w:p>
    <w:tbl>
      <w:tblPr>
        <w:tblStyle w:val="Table3"/>
        <w:tblW w:w="9506.0" w:type="dxa"/>
        <w:jc w:val="left"/>
        <w:tblLayout w:type="fixed"/>
        <w:tblLook w:val="0000"/>
      </w:tblPr>
      <w:tblGrid>
        <w:gridCol w:w="1901"/>
        <w:gridCol w:w="2403"/>
        <w:gridCol w:w="2388"/>
        <w:gridCol w:w="2814"/>
        <w:tblGridChange w:id="0">
          <w:tblGrid>
            <w:gridCol w:w="1901"/>
            <w:gridCol w:w="2403"/>
            <w:gridCol w:w="2388"/>
            <w:gridCol w:w="2814"/>
          </w:tblGrid>
        </w:tblGridChange>
      </w:tblGrid>
      <w:tr>
        <w:trPr>
          <w:cantSplit w:val="0"/>
          <w:tblHeader w:val="0"/>
        </w:trPr>
        <w:tc>
          <w:tcPr>
            <w:gridSpan w:val="2"/>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85fa5"/>
                <w:sz w:val="20"/>
                <w:szCs w:val="20"/>
                <w:u w:val="none"/>
                <w:shd w:fill="auto" w:val="clear"/>
                <w:vertAlign w:val="baseline"/>
                <w:rtl w:val="0"/>
              </w:rPr>
              <w:t xml:space="preserve">Come si svolge</w:t>
            </w:r>
            <w:r w:rsidDel="00000000" w:rsidR="00000000" w:rsidRPr="00000000">
              <w:rPr>
                <w:rtl w:val="0"/>
              </w:rPr>
            </w:r>
          </w:p>
        </w:tc>
        <w:tc>
          <w:tcPr>
            <w:gridSpan w:val="2"/>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185fa5"/>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185fa5"/>
                <w:sz w:val="20"/>
                <w:szCs w:val="20"/>
                <w:u w:val="none"/>
                <w:shd w:fill="auto" w:val="clear"/>
                <w:vertAlign w:val="baseline"/>
                <w:rtl w:val="0"/>
              </w:rPr>
              <w:t xml:space="preserve">1 — Preparazione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c447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c447c"/>
                <w:sz w:val="18"/>
                <w:szCs w:val="18"/>
                <w:u w:val="none"/>
                <w:shd w:fill="auto" w:val="clear"/>
                <w:vertAlign w:val="baseline"/>
                <w:rtl w:val="0"/>
              </w:rPr>
              <w:t xml:space="preserve">Colloquio per inquadrare l'ente: servizi critici, tecnologie, attori da coinvolgere. Lo scenario è costruito sul tuo contesto</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ed4c05"/>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ed4c05"/>
                <w:sz w:val="20"/>
                <w:szCs w:val="20"/>
                <w:u w:val="none"/>
                <w:shd w:fill="auto" w:val="clear"/>
                <w:vertAlign w:val="baseline"/>
                <w:rtl w:val="0"/>
              </w:rPr>
              <w:t xml:space="preserve">2 —  Pianificazione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ed4c05"/>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ed4c05"/>
                <w:sz w:val="18"/>
                <w:szCs w:val="18"/>
                <w:u w:val="none"/>
                <w:shd w:fill="auto" w:val="clear"/>
                <w:vertAlign w:val="baseline"/>
                <w:rtl w:val="0"/>
              </w:rPr>
              <w:t xml:space="preserve">Definizione dello scenario e della sequenza degli eventi simulati (“storyboard”), come base per guidare i momenti di discussione tecnica durante l’esercitazione</w:t>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3b6d11"/>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3b6d11"/>
                <w:sz w:val="20"/>
                <w:szCs w:val="20"/>
                <w:u w:val="none"/>
                <w:shd w:fill="auto" w:val="clear"/>
                <w:vertAlign w:val="baseline"/>
                <w:rtl w:val="0"/>
              </w:rPr>
              <w:t xml:space="preserve">3 — Esercitazione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27500a"/>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7500a"/>
                <w:sz w:val="18"/>
                <w:szCs w:val="18"/>
                <w:u w:val="none"/>
                <w:shd w:fill="auto" w:val="clear"/>
                <w:vertAlign w:val="baseline"/>
                <w:rtl w:val="0"/>
              </w:rPr>
              <w:t xml:space="preserve">Sessione tabletop guidata con scenario evolutivo: decisioni, comunicazioni interne ed esterne, gestione della crisi.</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854f0b"/>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854f0b"/>
                <w:sz w:val="20"/>
                <w:szCs w:val="20"/>
                <w:u w:val="none"/>
                <w:shd w:fill="auto" w:val="clear"/>
                <w:vertAlign w:val="baseline"/>
                <w:rtl w:val="0"/>
              </w:rPr>
              <w:t xml:space="preserve">4 — Restituzione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63380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633806"/>
                <w:sz w:val="18"/>
                <w:szCs w:val="18"/>
                <w:u w:val="none"/>
                <w:shd w:fill="auto" w:val="clear"/>
                <w:vertAlign w:val="baseline"/>
                <w:rtl w:val="0"/>
              </w:rPr>
              <w:t xml:space="preserve">Report con azioni correttive per ambito (organizzativo, procedurale, tecnologico, formativo) e incontro di commento.</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1">
      <w:pPr>
        <w:spacing w:after="0" w:before="400" w:lineRule="auto"/>
        <w:rPr>
          <w:rFonts w:ascii="Arial" w:cs="Arial" w:eastAsia="Arial" w:hAnsi="Arial"/>
          <w:color w:val="000000"/>
          <w:sz w:val="30"/>
          <w:szCs w:val="30"/>
        </w:rPr>
      </w:pPr>
      <w:r w:rsidDel="00000000" w:rsidR="00000000" w:rsidRPr="00000000">
        <w:rPr>
          <w:rtl w:val="0"/>
        </w:rPr>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line="408"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line="408"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Per info dettagliate sull</w:t>
      </w:r>
      <w:r w:rsidDel="00000000" w:rsidR="00000000" w:rsidRPr="00000000">
        <w:rPr>
          <w:sz w:val="25"/>
          <w:szCs w:val="25"/>
          <w:rtl w:val="0"/>
        </w:rPr>
        <w:t xml:space="preserve">’</w:t>
      </w:r>
      <w:r w:rsidDel="00000000" w:rsidR="00000000" w:rsidRPr="00000000">
        <w:rPr>
          <w:rFonts w:ascii="Times New Roman" w:cs="Times New Roman" w:eastAsia="Times New Roman" w:hAnsi="Times New Roman"/>
          <w:sz w:val="25"/>
          <w:szCs w:val="25"/>
          <w:rtl w:val="0"/>
        </w:rPr>
        <w:t xml:space="preserve">articolazione delle attività proposte clicca qui</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line="408"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Per contatti diretti scrivi a servizi@ancitoscana.it</w:t>
      </w:r>
    </w:p>
    <w:p w:rsidR="00000000" w:rsidDel="00000000" w:rsidP="00000000" w:rsidRDefault="00000000" w:rsidRPr="00000000" w14:paraId="00000035">
      <w:pPr>
        <w:jc w:val="left"/>
        <w:rPr>
          <w:i w:val="1"/>
          <w:iCs w:val="1"/>
          <w:sz w:val="18"/>
          <w:szCs w:val="18"/>
        </w:rPr>
      </w:pPr>
      <w:r w:rsidDel="00000000" w:rsidR="00000000" w:rsidRPr="00000000">
        <w:rPr>
          <w:rtl w:val="0"/>
        </w:rPr>
      </w:r>
    </w:p>
    <w:sectPr>
      <w:headerReference r:id="rId7" w:type="default"/>
      <w:headerReference r:id="rId8" w:type="first"/>
      <w:headerReference r:id="rId9" w:type="even"/>
      <w:pgSz w:h="16838" w:w="11906" w:orient="portrait"/>
      <w:pgMar w:bottom="1200" w:top="1736" w:left="1200" w:right="1200" w:header="120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Liberation Sans"/>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53"/>
        <w:tab w:val="right" w:leader="none" w:pos="95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53"/>
        <w:tab w:val="right" w:leader="none" w:pos="95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5454650</wp:posOffset>
          </wp:positionH>
          <wp:positionV relativeFrom="paragraph">
            <wp:posOffset>-53974</wp:posOffset>
          </wp:positionV>
          <wp:extent cx="419100" cy="41910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19100" cy="41910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53"/>
        <w:tab w:val="right" w:leader="none" w:pos="95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5454650</wp:posOffset>
          </wp:positionH>
          <wp:positionV relativeFrom="paragraph">
            <wp:posOffset>-53974</wp:posOffset>
          </wp:positionV>
          <wp:extent cx="419100" cy="419100"/>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19100" cy="419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60" w:before="320" w:lineRule="auto"/>
    </w:pPr>
    <w:rPr>
      <w:rFonts w:ascii="Arial" w:cs="Arial" w:eastAsia="Arial" w:hAnsi="Arial"/>
      <w:b w:val="1"/>
      <w:bCs w:val="1"/>
      <w:color w:val="ffffff"/>
      <w:sz w:val="32"/>
      <w:szCs w:val="32"/>
    </w:rPr>
  </w:style>
  <w:style w:type="paragraph" w:styleId="Heading2">
    <w:name w:val="heading 2"/>
    <w:basedOn w:val="Normal"/>
    <w:next w:val="Normal"/>
    <w:pPr>
      <w:keepNext w:val="1"/>
      <w:spacing w:after="100" w:before="260" w:lineRule="auto"/>
    </w:pPr>
    <w:rPr>
      <w:rFonts w:ascii="Arial" w:cs="Arial" w:eastAsia="Arial" w:hAnsi="Arial"/>
      <w:b w:val="1"/>
      <w:bCs w:val="1"/>
      <w:color w:val="2e75b6"/>
      <w:sz w:val="26"/>
      <w:szCs w:val="26"/>
    </w:rPr>
  </w:style>
  <w:style w:type="paragraph" w:styleId="Heading3">
    <w:name w:val="heading 3"/>
    <w:basedOn w:val="Normal"/>
    <w:next w:val="Normal"/>
    <w:pPr>
      <w:keepNext w:val="1"/>
      <w:spacing w:after="120" w:before="240" w:lineRule="auto"/>
    </w:pPr>
    <w:rPr>
      <w:rFonts w:ascii="Liberation Sans" w:cs="Liberation Sans" w:eastAsia="Liberation Sans" w:hAnsi="Liberation Sans"/>
      <w:color w:val="1f4d78"/>
      <w:sz w:val="24"/>
      <w:szCs w:val="24"/>
    </w:rPr>
  </w:style>
  <w:style w:type="paragraph" w:styleId="Heading4">
    <w:name w:val="heading 4"/>
    <w:basedOn w:val="Normal"/>
    <w:next w:val="Normal"/>
    <w:pPr>
      <w:keepNext w:val="1"/>
      <w:spacing w:after="120" w:before="240" w:lineRule="auto"/>
    </w:pPr>
    <w:rPr>
      <w:rFonts w:ascii="Liberation Sans" w:cs="Liberation Sans" w:eastAsia="Liberation Sans" w:hAnsi="Liberation Sans"/>
      <w:i w:val="1"/>
      <w:iCs w:val="1"/>
      <w:color w:val="2e74b5"/>
      <w:sz w:val="28"/>
      <w:szCs w:val="28"/>
    </w:rPr>
  </w:style>
  <w:style w:type="paragraph" w:styleId="Heading5">
    <w:name w:val="heading 5"/>
    <w:basedOn w:val="Normal"/>
    <w:next w:val="Normal"/>
    <w:pPr>
      <w:keepNext w:val="1"/>
      <w:spacing w:after="120" w:before="240" w:lineRule="auto"/>
    </w:pPr>
    <w:rPr>
      <w:rFonts w:ascii="Liberation Sans" w:cs="Liberation Sans" w:eastAsia="Liberation Sans" w:hAnsi="Liberation Sans"/>
      <w:color w:val="2e74b5"/>
      <w:sz w:val="28"/>
      <w:szCs w:val="28"/>
    </w:rPr>
  </w:style>
  <w:style w:type="paragraph" w:styleId="Heading6">
    <w:name w:val="heading 6"/>
    <w:basedOn w:val="Normal"/>
    <w:next w:val="Normal"/>
    <w:pPr>
      <w:keepNext w:val="1"/>
      <w:spacing w:after="120" w:before="240" w:lineRule="auto"/>
    </w:pPr>
    <w:rPr>
      <w:rFonts w:ascii="Liberation Sans" w:cs="Liberation Sans" w:eastAsia="Liberation Sans" w:hAnsi="Liberation Sans"/>
      <w:color w:val="1f4d78"/>
      <w:sz w:val="28"/>
      <w:szCs w:val="28"/>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5.0" w:type="dxa"/>
        <w:left w:w="115.0" w:type="dxa"/>
        <w:bottom w:w="55.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hvUGYkcyAztTxdl5Ds+KWTm4vw==">CgMxLjA4AHIhMVNWWWpYQ05LQ1VIaVRvLVJrS05KVDBLZmVLZ3BickZ5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