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251B" w14:textId="45D59669" w:rsidR="00430B32" w:rsidRDefault="00B05330" w:rsidP="00CC3F71">
      <w:pPr>
        <w:spacing w:after="0"/>
        <w:jc w:val="center"/>
        <w:rPr>
          <w:rFonts w:ascii="Bookman Old Style" w:hAnsi="Bookman Old Style"/>
          <w:b/>
          <w:bCs/>
          <w:color w:val="EE0000"/>
        </w:rPr>
      </w:pPr>
      <w:r w:rsidRPr="00C86D2B">
        <w:rPr>
          <w:rFonts w:ascii="Bookman Old Style" w:hAnsi="Bookman Old Style"/>
          <w:noProof/>
        </w:rPr>
        <w:drawing>
          <wp:inline distT="0" distB="0" distL="0" distR="0" wp14:anchorId="2DF81256" wp14:editId="20E43F11">
            <wp:extent cx="692150" cy="914400"/>
            <wp:effectExtent l="19050" t="0" r="0" b="0"/>
            <wp:docPr id="2" name="Immagine 1" descr="logo anci do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ci dorato"/>
                    <pic:cNvPicPr>
                      <a:picLocks noChangeAspect="1" noChangeArrowheads="1"/>
                    </pic:cNvPicPr>
                  </pic:nvPicPr>
                  <pic:blipFill>
                    <a:blip r:embed="rId7" cstate="print"/>
                    <a:srcRect/>
                    <a:stretch>
                      <a:fillRect/>
                    </a:stretch>
                  </pic:blipFill>
                  <pic:spPr bwMode="auto">
                    <a:xfrm>
                      <a:off x="0" y="0"/>
                      <a:ext cx="692150" cy="914400"/>
                    </a:xfrm>
                    <a:prstGeom prst="rect">
                      <a:avLst/>
                    </a:prstGeom>
                    <a:noFill/>
                    <a:ln w="9525">
                      <a:noFill/>
                      <a:miter lim="800000"/>
                      <a:headEnd/>
                      <a:tailEnd/>
                    </a:ln>
                  </pic:spPr>
                </pic:pic>
              </a:graphicData>
            </a:graphic>
          </wp:inline>
        </w:drawing>
      </w:r>
    </w:p>
    <w:p w14:paraId="48F1C870" w14:textId="77777777" w:rsidR="00430B32" w:rsidRDefault="00430B32" w:rsidP="00CC3F71">
      <w:pPr>
        <w:spacing w:after="0"/>
        <w:jc w:val="center"/>
        <w:rPr>
          <w:rFonts w:ascii="Bookman Old Style" w:hAnsi="Bookman Old Style"/>
          <w:b/>
          <w:bCs/>
          <w:color w:val="EE0000"/>
        </w:rPr>
      </w:pPr>
    </w:p>
    <w:p w14:paraId="59CDCA72" w14:textId="77777777" w:rsidR="00430B32" w:rsidRDefault="00430B32" w:rsidP="00CC3F71">
      <w:pPr>
        <w:spacing w:after="0"/>
        <w:jc w:val="center"/>
        <w:rPr>
          <w:rFonts w:ascii="Bookman Old Style" w:hAnsi="Bookman Old Style"/>
          <w:b/>
          <w:bCs/>
          <w:color w:val="EE0000"/>
        </w:rPr>
      </w:pPr>
    </w:p>
    <w:p w14:paraId="4996F998" w14:textId="1588A13C" w:rsidR="00CC3F71" w:rsidRPr="00CC3F71" w:rsidRDefault="00CC3F71" w:rsidP="00CC3F71">
      <w:pPr>
        <w:spacing w:after="0"/>
        <w:jc w:val="center"/>
        <w:rPr>
          <w:rFonts w:ascii="Bookman Old Style" w:hAnsi="Bookman Old Style"/>
          <w:b/>
          <w:bCs/>
          <w:color w:val="004F88"/>
        </w:rPr>
      </w:pPr>
      <w:r w:rsidRPr="00CC3F71">
        <w:rPr>
          <w:rFonts w:ascii="Bookman Old Style" w:hAnsi="Bookman Old Style"/>
          <w:b/>
          <w:bCs/>
          <w:color w:val="004F88"/>
        </w:rPr>
        <w:t>NOTA SINTETICA</w:t>
      </w:r>
    </w:p>
    <w:p w14:paraId="3FF210E3" w14:textId="77777777" w:rsidR="00CC3F71" w:rsidRPr="00CC3F71" w:rsidRDefault="00CC3F71" w:rsidP="00CC3F71">
      <w:pPr>
        <w:spacing w:after="0"/>
        <w:jc w:val="center"/>
        <w:rPr>
          <w:rFonts w:ascii="Bookman Old Style" w:hAnsi="Bookman Old Style"/>
          <w:b/>
          <w:bCs/>
          <w:color w:val="004F88"/>
        </w:rPr>
      </w:pPr>
    </w:p>
    <w:p w14:paraId="447EB80B" w14:textId="77777777" w:rsidR="00CC3F71" w:rsidRPr="00CC3F71" w:rsidRDefault="00CC3F71" w:rsidP="00CC3F71">
      <w:pPr>
        <w:jc w:val="center"/>
        <w:rPr>
          <w:rFonts w:ascii="Bookman Old Style" w:hAnsi="Bookman Old Style"/>
          <w:b/>
          <w:color w:val="004F88"/>
          <w14:ligatures w14:val="none"/>
        </w:rPr>
      </w:pPr>
      <w:r w:rsidRPr="00CC3F71">
        <w:rPr>
          <w:rFonts w:ascii="Bookman Old Style" w:hAnsi="Bookman Old Style"/>
          <w:b/>
          <w:color w:val="004F88"/>
          <w14:ligatures w14:val="none"/>
        </w:rPr>
        <w:t>DECRETO-LEGGE 31 DICEMBRE 2025, N. 200, RECANTE “DISPOSIZIONI URGENTI IN MATERIA DI TERMINI NORMATIVI”</w:t>
      </w:r>
    </w:p>
    <w:p w14:paraId="4C676732" w14:textId="77777777" w:rsidR="00CC3F71" w:rsidRPr="00CC3F71" w:rsidRDefault="00CC3F71" w:rsidP="00CC3F71">
      <w:pPr>
        <w:spacing w:after="0" w:line="240" w:lineRule="auto"/>
        <w:jc w:val="both"/>
        <w:rPr>
          <w:rFonts w:ascii="Bookman Old Style" w:hAnsi="Bookman Old Style" w:cs="Aptos"/>
          <w:kern w:val="0"/>
        </w:rPr>
      </w:pPr>
    </w:p>
    <w:p w14:paraId="35EEC3E7" w14:textId="77777777" w:rsidR="00CC3F71" w:rsidRPr="00CC3F71" w:rsidRDefault="00CC3F71" w:rsidP="00CC3F71">
      <w:pPr>
        <w:spacing w:after="0" w:line="240" w:lineRule="auto"/>
        <w:jc w:val="both"/>
        <w:rPr>
          <w:rFonts w:ascii="Bookman Old Style" w:hAnsi="Bookman Old Style" w:cs="Aptos"/>
          <w:b/>
          <w:bCs/>
          <w:kern w:val="0"/>
        </w:rPr>
      </w:pPr>
    </w:p>
    <w:p w14:paraId="23DE4D7C" w14:textId="77777777" w:rsidR="00CC3F71" w:rsidRPr="00CC3F71" w:rsidRDefault="00CC3F71" w:rsidP="00CC3F71">
      <w:pPr>
        <w:spacing w:after="0" w:line="240" w:lineRule="auto"/>
        <w:jc w:val="both"/>
        <w:rPr>
          <w:rFonts w:ascii="Bookman Old Style" w:hAnsi="Bookman Old Style" w:cs="Aptos"/>
          <w:b/>
          <w:bCs/>
          <w:color w:val="004F88"/>
          <w:kern w:val="0"/>
        </w:rPr>
      </w:pPr>
      <w:r w:rsidRPr="00CC3F71">
        <w:rPr>
          <w:rFonts w:ascii="Bookman Old Style" w:hAnsi="Bookman Old Style" w:cs="Aptos"/>
          <w:b/>
          <w:bCs/>
          <w:color w:val="004F88"/>
          <w:kern w:val="0"/>
        </w:rPr>
        <w:t>PREMESSA</w:t>
      </w:r>
    </w:p>
    <w:p w14:paraId="4AF21231" w14:textId="2074862D" w:rsidR="00DA3510" w:rsidRPr="00CC3F71" w:rsidRDefault="00CC3F71" w:rsidP="00DA3510">
      <w:pPr>
        <w:spacing w:after="0" w:line="240" w:lineRule="auto"/>
        <w:jc w:val="both"/>
        <w:rPr>
          <w:rFonts w:ascii="Bookman Old Style" w:hAnsi="Bookman Old Style" w:cs="Aptos"/>
          <w:kern w:val="0"/>
        </w:rPr>
      </w:pPr>
      <w:r w:rsidRPr="00CC3F71">
        <w:rPr>
          <w:rFonts w:ascii="Bookman Old Style" w:hAnsi="Bookman Old Style" w:cs="Aptos"/>
          <w:kern w:val="0"/>
        </w:rPr>
        <w:t xml:space="preserve">Il </w:t>
      </w:r>
      <w:r w:rsidR="00D054B6" w:rsidRPr="00CC3F71">
        <w:rPr>
          <w:rFonts w:ascii="Bookman Old Style" w:hAnsi="Bookman Old Style" w:cs="Aptos"/>
          <w:kern w:val="0"/>
        </w:rPr>
        <w:t>decreto-legge</w:t>
      </w:r>
      <w:r w:rsidRPr="00CC3F71">
        <w:rPr>
          <w:rFonts w:ascii="Bookman Old Style" w:hAnsi="Bookman Old Style" w:cs="Aptos"/>
          <w:kern w:val="0"/>
        </w:rPr>
        <w:t xml:space="preserve"> </w:t>
      </w:r>
      <w:r w:rsidR="00B05330">
        <w:rPr>
          <w:rFonts w:ascii="Bookman Old Style" w:hAnsi="Bookman Old Style" w:cs="Aptos"/>
          <w:kern w:val="0"/>
        </w:rPr>
        <w:t xml:space="preserve">cd proroghe </w:t>
      </w:r>
      <w:r w:rsidRPr="00C85F87">
        <w:rPr>
          <w:rFonts w:ascii="Bookman Old Style" w:hAnsi="Bookman Old Style" w:cs="Aptos"/>
          <w:kern w:val="0"/>
        </w:rPr>
        <w:t xml:space="preserve">è </w:t>
      </w:r>
      <w:r w:rsidR="00C85F87" w:rsidRPr="00C85F87">
        <w:rPr>
          <w:rFonts w:ascii="Bookman Old Style" w:hAnsi="Bookman Old Style" w:cs="Aptos"/>
          <w:kern w:val="0"/>
        </w:rPr>
        <w:t xml:space="preserve">stato </w:t>
      </w:r>
      <w:r w:rsidR="007D4189">
        <w:rPr>
          <w:rFonts w:ascii="Bookman Old Style" w:hAnsi="Bookman Old Style" w:cs="Aptos"/>
          <w:kern w:val="0"/>
        </w:rPr>
        <w:t xml:space="preserve">esaminato e </w:t>
      </w:r>
      <w:r w:rsidR="00315772">
        <w:rPr>
          <w:rFonts w:ascii="Bookman Old Style" w:hAnsi="Bookman Old Style" w:cs="Aptos"/>
          <w:kern w:val="0"/>
        </w:rPr>
        <w:t xml:space="preserve">modificato nelle commissioni riunite Affari Costituzionali e Bilancio della Camera ed </w:t>
      </w:r>
      <w:r w:rsidR="00C85F87" w:rsidRPr="00C85F87">
        <w:rPr>
          <w:rFonts w:ascii="Bookman Old Style" w:hAnsi="Bookman Old Style" w:cs="Aptos"/>
          <w:kern w:val="0"/>
        </w:rPr>
        <w:t>approvato</w:t>
      </w:r>
      <w:r w:rsidR="003B05AB" w:rsidRPr="00C85F87">
        <w:rPr>
          <w:rFonts w:ascii="Bookman Old Style" w:hAnsi="Bookman Old Style" w:cs="Aptos"/>
          <w:kern w:val="0"/>
        </w:rPr>
        <w:t xml:space="preserve"> </w:t>
      </w:r>
      <w:r w:rsidR="00315772">
        <w:rPr>
          <w:rFonts w:ascii="Bookman Old Style" w:hAnsi="Bookman Old Style" w:cs="Aptos"/>
          <w:kern w:val="0"/>
        </w:rPr>
        <w:t>con voto di fiducia dall’Aula i</w:t>
      </w:r>
      <w:r w:rsidR="00315772" w:rsidRPr="00E24102">
        <w:rPr>
          <w:rFonts w:ascii="Bookman Old Style" w:hAnsi="Bookman Old Style" w:cs="Aptos"/>
          <w:kern w:val="0"/>
          <w:u w:val="single"/>
        </w:rPr>
        <w:t xml:space="preserve">l 23 febbraio </w:t>
      </w:r>
      <w:r w:rsidR="00940DDA" w:rsidRPr="00E24102">
        <w:rPr>
          <w:rFonts w:ascii="Bookman Old Style" w:hAnsi="Bookman Old Style" w:cs="Aptos"/>
          <w:kern w:val="0"/>
          <w:u w:val="single"/>
        </w:rPr>
        <w:t>u.s</w:t>
      </w:r>
      <w:r w:rsidR="00315772" w:rsidRPr="00E24102">
        <w:rPr>
          <w:rFonts w:ascii="Bookman Old Style" w:hAnsi="Bookman Old Style" w:cs="Aptos"/>
          <w:kern w:val="0"/>
          <w:u w:val="single"/>
        </w:rPr>
        <w:t>.</w:t>
      </w:r>
      <w:r w:rsidR="003B05AB" w:rsidRPr="003B05AB">
        <w:rPr>
          <w:rFonts w:ascii="Bookman Old Style" w:hAnsi="Bookman Old Style" w:cs="Aptos"/>
          <w:kern w:val="0"/>
        </w:rPr>
        <w:t xml:space="preserve"> </w:t>
      </w:r>
      <w:r w:rsidR="003B05AB">
        <w:rPr>
          <w:rFonts w:ascii="Bookman Old Style" w:hAnsi="Bookman Old Style" w:cs="Aptos"/>
          <w:kern w:val="0"/>
        </w:rPr>
        <w:t>Il provvedimento pass</w:t>
      </w:r>
      <w:r w:rsidR="00315772">
        <w:rPr>
          <w:rFonts w:ascii="Bookman Old Style" w:hAnsi="Bookman Old Style" w:cs="Aptos"/>
          <w:kern w:val="0"/>
        </w:rPr>
        <w:t>a</w:t>
      </w:r>
      <w:r w:rsidR="003B05AB">
        <w:rPr>
          <w:rFonts w:ascii="Bookman Old Style" w:hAnsi="Bookman Old Style" w:cs="Aptos"/>
          <w:kern w:val="0"/>
        </w:rPr>
        <w:t xml:space="preserve"> in Senato</w:t>
      </w:r>
      <w:r w:rsidR="00DA3510">
        <w:rPr>
          <w:rFonts w:ascii="Bookman Old Style" w:hAnsi="Bookman Old Style" w:cs="Aptos"/>
          <w:kern w:val="0"/>
        </w:rPr>
        <w:t xml:space="preserve"> per una seconda lettura blindata.</w:t>
      </w:r>
    </w:p>
    <w:p w14:paraId="5553D0E3" w14:textId="43B0BE3A" w:rsidR="006960AA" w:rsidRDefault="006960AA" w:rsidP="00CC3F71">
      <w:pPr>
        <w:spacing w:after="0" w:line="240" w:lineRule="auto"/>
        <w:jc w:val="both"/>
        <w:rPr>
          <w:rFonts w:ascii="Bookman Old Style" w:hAnsi="Bookman Old Style" w:cs="Aptos"/>
          <w:kern w:val="0"/>
        </w:rPr>
      </w:pPr>
    </w:p>
    <w:p w14:paraId="224F5C59" w14:textId="40515B21" w:rsidR="00CC3F71" w:rsidRDefault="006960AA" w:rsidP="00CC3F71">
      <w:pPr>
        <w:spacing w:after="0" w:line="240" w:lineRule="auto"/>
        <w:jc w:val="both"/>
        <w:rPr>
          <w:rFonts w:ascii="Bookman Old Style" w:hAnsi="Bookman Old Style" w:cs="Aptos"/>
          <w:kern w:val="0"/>
        </w:rPr>
      </w:pPr>
      <w:r>
        <w:rPr>
          <w:rFonts w:ascii="Bookman Old Style" w:hAnsi="Bookman Old Style" w:cs="Aptos"/>
          <w:kern w:val="0"/>
        </w:rPr>
        <w:t>Si segnala che durante l’esame in sede referente sono state</w:t>
      </w:r>
      <w:r w:rsidR="00CC3F71" w:rsidRPr="00CC3F71">
        <w:rPr>
          <w:rFonts w:ascii="Bookman Old Style" w:hAnsi="Bookman Old Style" w:cs="Aptos"/>
          <w:kern w:val="0"/>
        </w:rPr>
        <w:t xml:space="preserve"> approvat</w:t>
      </w:r>
      <w:r>
        <w:rPr>
          <w:rFonts w:ascii="Bookman Old Style" w:hAnsi="Bookman Old Style" w:cs="Aptos"/>
          <w:kern w:val="0"/>
        </w:rPr>
        <w:t>e</w:t>
      </w:r>
      <w:r w:rsidR="00CC3F71" w:rsidRPr="00CC3F71">
        <w:rPr>
          <w:rFonts w:ascii="Bookman Old Style" w:hAnsi="Bookman Old Style" w:cs="Aptos"/>
          <w:kern w:val="0"/>
        </w:rPr>
        <w:t xml:space="preserve"> diverse norme di interesse</w:t>
      </w:r>
      <w:r w:rsidR="00B213D7">
        <w:rPr>
          <w:rFonts w:ascii="Bookman Old Style" w:hAnsi="Bookman Old Style" w:cs="Aptos"/>
          <w:kern w:val="0"/>
        </w:rPr>
        <w:t xml:space="preserve">. Si riporta di seguito </w:t>
      </w:r>
      <w:r w:rsidR="00AD442E">
        <w:rPr>
          <w:rFonts w:ascii="Bookman Old Style" w:hAnsi="Bookman Old Style" w:cs="Aptos"/>
          <w:kern w:val="0"/>
        </w:rPr>
        <w:t xml:space="preserve">una sintesi </w:t>
      </w:r>
      <w:r w:rsidR="00A24D49" w:rsidRPr="00ED46FF">
        <w:rPr>
          <w:rFonts w:ascii="Bookman Old Style" w:hAnsi="Bookman Old Style" w:cs="Aptos"/>
          <w:kern w:val="0"/>
          <w:u w:val="single"/>
        </w:rPr>
        <w:t xml:space="preserve">sia </w:t>
      </w:r>
      <w:r w:rsidR="00AD442E" w:rsidRPr="00ED46FF">
        <w:rPr>
          <w:rFonts w:ascii="Bookman Old Style" w:hAnsi="Bookman Old Style" w:cs="Aptos"/>
          <w:kern w:val="0"/>
          <w:u w:val="single"/>
        </w:rPr>
        <w:t>delle principali richieste d</w:t>
      </w:r>
      <w:r w:rsidR="00A24D49" w:rsidRPr="00ED46FF">
        <w:rPr>
          <w:rFonts w:ascii="Bookman Old Style" w:hAnsi="Bookman Old Style" w:cs="Aptos"/>
          <w:kern w:val="0"/>
          <w:u w:val="single"/>
        </w:rPr>
        <w:t>e</w:t>
      </w:r>
      <w:r w:rsidR="00AD442E" w:rsidRPr="00ED46FF">
        <w:rPr>
          <w:rFonts w:ascii="Bookman Old Style" w:hAnsi="Bookman Old Style" w:cs="Aptos"/>
          <w:kern w:val="0"/>
          <w:u w:val="single"/>
        </w:rPr>
        <w:t>ll’ANCI</w:t>
      </w:r>
      <w:r w:rsidR="00ED46FF">
        <w:rPr>
          <w:rFonts w:ascii="Bookman Old Style" w:hAnsi="Bookman Old Style" w:cs="Aptos"/>
          <w:kern w:val="0"/>
          <w:u w:val="single"/>
        </w:rPr>
        <w:t xml:space="preserve"> </w:t>
      </w:r>
      <w:r w:rsidR="00A24D49">
        <w:rPr>
          <w:rFonts w:ascii="Bookman Old Style" w:hAnsi="Bookman Old Style" w:cs="Aptos"/>
          <w:kern w:val="0"/>
        </w:rPr>
        <w:t>che</w:t>
      </w:r>
      <w:r w:rsidR="00AD442E">
        <w:rPr>
          <w:rFonts w:ascii="Bookman Old Style" w:hAnsi="Bookman Old Style" w:cs="Aptos"/>
          <w:kern w:val="0"/>
        </w:rPr>
        <w:t xml:space="preserve"> di tutte le norme di interesse</w:t>
      </w:r>
      <w:r w:rsidR="00A24D49">
        <w:rPr>
          <w:rFonts w:ascii="Bookman Old Style" w:hAnsi="Bookman Old Style" w:cs="Aptos"/>
          <w:kern w:val="0"/>
        </w:rPr>
        <w:t xml:space="preserve"> per Comuni e Città metropolitane.</w:t>
      </w:r>
    </w:p>
    <w:p w14:paraId="69AAB9CB" w14:textId="00327284" w:rsidR="006801BA" w:rsidRPr="00CC3F71" w:rsidRDefault="006801BA" w:rsidP="00CC3F71">
      <w:pPr>
        <w:spacing w:after="0" w:line="240" w:lineRule="auto"/>
        <w:jc w:val="both"/>
        <w:rPr>
          <w:rFonts w:ascii="Bookman Old Style" w:hAnsi="Bookman Old Style" w:cs="Aptos"/>
          <w:kern w:val="0"/>
        </w:rPr>
      </w:pPr>
      <w:r>
        <w:rPr>
          <w:rFonts w:ascii="Bookman Old Style" w:hAnsi="Bookman Old Style" w:cs="Aptos"/>
          <w:kern w:val="0"/>
        </w:rPr>
        <w:t>Si riporta in calce alla nota una tabella riepilogativa di tutte le proroghe di interesse.</w:t>
      </w:r>
    </w:p>
    <w:p w14:paraId="00E101F2" w14:textId="77777777" w:rsidR="00CC3F71" w:rsidRDefault="00CC3F71" w:rsidP="00CC3F71">
      <w:pPr>
        <w:spacing w:after="0" w:line="240" w:lineRule="auto"/>
        <w:jc w:val="both"/>
        <w:rPr>
          <w:rFonts w:ascii="Bookman Old Style" w:hAnsi="Bookman Old Style" w:cs="Aptos"/>
          <w:kern w:val="0"/>
        </w:rPr>
      </w:pPr>
    </w:p>
    <w:p w14:paraId="16747789" w14:textId="77777777" w:rsidR="00677CEB" w:rsidRPr="00CC3F71" w:rsidRDefault="00677CEB" w:rsidP="00CC3F71">
      <w:pPr>
        <w:spacing w:after="0" w:line="240" w:lineRule="auto"/>
        <w:jc w:val="both"/>
        <w:rPr>
          <w:rFonts w:ascii="Bookman Old Style" w:hAnsi="Bookman Old Style" w:cs="Aptos"/>
          <w:kern w:val="0"/>
        </w:rPr>
      </w:pPr>
    </w:p>
    <w:p w14:paraId="5DE0D7F6" w14:textId="3838995E" w:rsidR="00CC3F71" w:rsidRDefault="00ED46FF" w:rsidP="000A4744">
      <w:pPr>
        <w:keepNext/>
        <w:keepLines/>
        <w:spacing w:before="160" w:after="80"/>
        <w:contextualSpacing/>
        <w:jc w:val="both"/>
        <w:outlineLvl w:val="1"/>
        <w:rPr>
          <w:rFonts w:ascii="Bookman Old Style" w:eastAsiaTheme="majorEastAsia" w:hAnsi="Bookman Old Style" w:cstheme="majorBidi"/>
          <w:b/>
          <w:bCs/>
          <w:color w:val="215E99" w:themeColor="text2" w:themeTint="BF"/>
        </w:rPr>
      </w:pPr>
      <w:r w:rsidRPr="00ED46FF">
        <w:rPr>
          <w:rFonts w:ascii="Bookman Old Style" w:eastAsiaTheme="majorEastAsia" w:hAnsi="Bookman Old Style" w:cstheme="majorBidi"/>
          <w:b/>
          <w:bCs/>
          <w:color w:val="215E99" w:themeColor="text2" w:themeTint="BF"/>
        </w:rPr>
        <w:t>NORME FONDAMENTALI</w:t>
      </w:r>
    </w:p>
    <w:p w14:paraId="191410C6" w14:textId="77777777" w:rsidR="00ED46FF" w:rsidRPr="00ED46FF" w:rsidRDefault="00ED46FF" w:rsidP="00CC3F71">
      <w:pPr>
        <w:keepNext/>
        <w:keepLines/>
        <w:spacing w:before="160" w:after="80"/>
        <w:ind w:left="720"/>
        <w:contextualSpacing/>
        <w:jc w:val="both"/>
        <w:outlineLvl w:val="1"/>
        <w:rPr>
          <w:rFonts w:ascii="Bookman Old Style" w:eastAsiaTheme="majorEastAsia" w:hAnsi="Bookman Old Style" w:cstheme="majorBidi"/>
          <w:b/>
          <w:bCs/>
          <w:color w:val="215E99" w:themeColor="text2" w:themeTint="BF"/>
        </w:rPr>
      </w:pPr>
    </w:p>
    <w:p w14:paraId="15C9E0D2" w14:textId="7198D6D8" w:rsidR="00CC3F71" w:rsidRPr="00CC3F71" w:rsidRDefault="00A93569" w:rsidP="004D77A7">
      <w:pPr>
        <w:pStyle w:val="Paragrafoelenco"/>
        <w:numPr>
          <w:ilvl w:val="0"/>
          <w:numId w:val="4"/>
        </w:numPr>
        <w:spacing w:after="0" w:line="240" w:lineRule="auto"/>
        <w:jc w:val="both"/>
        <w:rPr>
          <w:rFonts w:ascii="Bookman Old Style" w:hAnsi="Bookman Old Style" w:cs="Aptos"/>
          <w:b/>
          <w:bCs/>
          <w:color w:val="004F88"/>
          <w:kern w:val="0"/>
        </w:rPr>
      </w:pPr>
      <w:r w:rsidRPr="004D77A7">
        <w:rPr>
          <w:rFonts w:ascii="Bookman Old Style" w:hAnsi="Bookman Old Style" w:cs="Aptos"/>
          <w:b/>
          <w:bCs/>
          <w:color w:val="004F88"/>
          <w:kern w:val="0"/>
        </w:rPr>
        <w:t>Proroga termi</w:t>
      </w:r>
      <w:r w:rsidR="004D77A7" w:rsidRPr="004D77A7">
        <w:rPr>
          <w:rFonts w:ascii="Bookman Old Style" w:hAnsi="Bookman Old Style" w:cs="Aptos"/>
          <w:b/>
          <w:bCs/>
          <w:color w:val="004F88"/>
          <w:kern w:val="0"/>
        </w:rPr>
        <w:t>ni fine lavori opere medie (Art. 2, comma 2 bis)</w:t>
      </w:r>
    </w:p>
    <w:p w14:paraId="6E3C886B" w14:textId="50A4974A" w:rsidR="00A674C8" w:rsidRPr="00A674C8" w:rsidRDefault="004D77A7" w:rsidP="008D2D8A">
      <w:pPr>
        <w:shd w:val="clear" w:color="auto" w:fill="FFFFFF"/>
        <w:spacing w:after="0" w:line="240" w:lineRule="auto"/>
        <w:jc w:val="both"/>
        <w:rPr>
          <w:rFonts w:ascii="Bookman Old Style" w:hAnsi="Bookman Old Style" w:cs="Aptos"/>
          <w:kern w:val="0"/>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Pr="005968FB">
        <w:rPr>
          <w:rFonts w:ascii="Bookman Old Style" w:eastAsiaTheme="majorEastAsia" w:hAnsi="Bookman Old Style" w:cstheme="majorBidi"/>
          <w:b/>
          <w:bCs/>
        </w:rPr>
        <w:t>richiesta dall’ANCI</w:t>
      </w:r>
      <w:r w:rsidRPr="00FB740B">
        <w:rPr>
          <w:rFonts w:ascii="Bookman Old Style" w:eastAsiaTheme="majorEastAsia" w:hAnsi="Bookman Old Style" w:cstheme="majorBidi"/>
        </w:rPr>
        <w:t xml:space="preserve"> e approvata nelle commissioni in sede referente</w:t>
      </w:r>
      <w:r w:rsidR="00331DAC">
        <w:rPr>
          <w:rFonts w:ascii="Bookman Old Style" w:eastAsiaTheme="majorEastAsia" w:hAnsi="Bookman Old Style" w:cstheme="majorBidi"/>
        </w:rPr>
        <w:t>,</w:t>
      </w:r>
      <w:r w:rsidRPr="005978AA">
        <w:rPr>
          <w:rFonts w:ascii="Bookman Old Style" w:hAnsi="Bookman Old Style"/>
          <w:b/>
          <w:bCs/>
        </w:rPr>
        <w:t xml:space="preserve"> </w:t>
      </w:r>
      <w:r w:rsidR="00A5269F" w:rsidRPr="004D77A7">
        <w:rPr>
          <w:rFonts w:ascii="Bookman Old Style" w:hAnsi="Bookman Old Style"/>
          <w:b/>
          <w:bCs/>
        </w:rPr>
        <w:t xml:space="preserve">proroga al </w:t>
      </w:r>
      <w:r w:rsidR="00A5269F" w:rsidRPr="004D77A7">
        <w:rPr>
          <w:rFonts w:ascii="Bookman Old Style" w:eastAsiaTheme="majorEastAsia" w:hAnsi="Bookman Old Style" w:cstheme="majorBidi"/>
          <w:b/>
          <w:bCs/>
        </w:rPr>
        <w:t>30 settembre 2026</w:t>
      </w:r>
      <w:r w:rsidR="00A5269F" w:rsidRPr="004D77A7">
        <w:rPr>
          <w:rFonts w:ascii="Bookman Old Style" w:eastAsiaTheme="majorEastAsia" w:hAnsi="Bookman Old Style" w:cstheme="majorBidi"/>
        </w:rPr>
        <w:t xml:space="preserve"> il termine per la fine dei lavori </w:t>
      </w:r>
      <w:r w:rsidR="00A5269F" w:rsidRPr="004D77A7">
        <w:rPr>
          <w:rFonts w:ascii="Bookman Old Style" w:hAnsi="Bookman Old Style"/>
        </w:rPr>
        <w:t>delle cosiddette “opere medie”.</w:t>
      </w:r>
      <w:r w:rsidR="00751BE6">
        <w:rPr>
          <w:rFonts w:ascii="Bookman Old Style" w:hAnsi="Bookman Old Style"/>
        </w:rPr>
        <w:t xml:space="preserve"> </w:t>
      </w:r>
      <w:r w:rsidR="00700261">
        <w:rPr>
          <w:rFonts w:ascii="Bookman Old Style" w:hAnsi="Bookman Old Style"/>
        </w:rPr>
        <w:t xml:space="preserve">La </w:t>
      </w:r>
      <w:r w:rsidR="00CF6F7E">
        <w:rPr>
          <w:rFonts w:ascii="Bookman Old Style" w:hAnsi="Bookman Old Style"/>
        </w:rPr>
        <w:t>proroga</w:t>
      </w:r>
      <w:r w:rsidR="00700261">
        <w:rPr>
          <w:rFonts w:ascii="Bookman Old Style" w:hAnsi="Bookman Old Style"/>
        </w:rPr>
        <w:t xml:space="preserve"> di tale termine nasce dall’esigenza</w:t>
      </w:r>
      <w:r w:rsidR="00793D0A">
        <w:rPr>
          <w:rFonts w:ascii="Bookman Old Style" w:hAnsi="Bookman Old Style" w:cs="Aptos"/>
          <w:kern w:val="0"/>
        </w:rPr>
        <w:t xml:space="preserve"> </w:t>
      </w:r>
      <w:r w:rsidR="00976D3B" w:rsidRPr="00976D3B">
        <w:rPr>
          <w:rFonts w:ascii="Bookman Old Style" w:hAnsi="Bookman Old Style" w:cs="Aptos"/>
          <w:kern w:val="0"/>
        </w:rPr>
        <w:t xml:space="preserve">manifestata da molti Comuni, soprattutto di piccole dimensioni, di avere più tempo per la chiusura dei lavori di opere importanti quali la messa in sicurezza di edifici scolastici, interventi per la riduzione del rischio idrogeologico dei territori, manutenzione straordinaria strade, ponti e infrastrutture.  </w:t>
      </w:r>
      <w:r w:rsidR="00291D24">
        <w:rPr>
          <w:rFonts w:ascii="Bookman Old Style" w:hAnsi="Bookman Old Style" w:cs="Aptos"/>
          <w:kern w:val="0"/>
        </w:rPr>
        <w:t>ANCI auspica</w:t>
      </w:r>
      <w:r w:rsidR="00A674C8" w:rsidRPr="00A674C8">
        <w:rPr>
          <w:rFonts w:ascii="Bookman Old Style" w:hAnsi="Bookman Old Style" w:cs="Aptos"/>
          <w:kern w:val="0"/>
        </w:rPr>
        <w:t xml:space="preserve"> </w:t>
      </w:r>
      <w:r w:rsidR="008D2D8A">
        <w:rPr>
          <w:rFonts w:ascii="Bookman Old Style" w:hAnsi="Bookman Old Style" w:cs="Aptos"/>
          <w:kern w:val="0"/>
        </w:rPr>
        <w:t xml:space="preserve">altresì </w:t>
      </w:r>
      <w:r w:rsidR="00A674C8" w:rsidRPr="00A674C8">
        <w:rPr>
          <w:rFonts w:ascii="Bookman Old Style" w:hAnsi="Bookman Old Style" w:cs="Aptos"/>
          <w:kern w:val="0"/>
        </w:rPr>
        <w:t xml:space="preserve">che si possa intervenire, anche in un prossimo provvedimento, su una revisione complessiva delle diverse scadenze previste in materia di aggiudicazione dei lavori di queste opere così strategiche ed evitare </w:t>
      </w:r>
      <w:r w:rsidR="00291D24">
        <w:rPr>
          <w:rFonts w:ascii="Bookman Old Style" w:hAnsi="Bookman Old Style" w:cs="Aptos"/>
          <w:kern w:val="0"/>
        </w:rPr>
        <w:t xml:space="preserve">così </w:t>
      </w:r>
      <w:r w:rsidR="00A674C8" w:rsidRPr="00A674C8">
        <w:rPr>
          <w:rFonts w:ascii="Bookman Old Style" w:hAnsi="Bookman Old Style" w:cs="Aptos"/>
          <w:kern w:val="0"/>
        </w:rPr>
        <w:t xml:space="preserve">la revoca di finanziamenti nel caso di mancato e incolpevole rispetto dei termini stessi. </w:t>
      </w:r>
    </w:p>
    <w:p w14:paraId="6CFE2E21" w14:textId="77777777" w:rsidR="00A674C8" w:rsidRPr="00976D3B" w:rsidRDefault="00A674C8" w:rsidP="00751BE6">
      <w:pPr>
        <w:shd w:val="clear" w:color="auto" w:fill="FFFFFF"/>
        <w:spacing w:after="0" w:line="240" w:lineRule="auto"/>
        <w:jc w:val="both"/>
        <w:rPr>
          <w:rFonts w:ascii="Bookman Old Style" w:hAnsi="Bookman Old Style" w:cs="Aptos"/>
          <w:kern w:val="0"/>
        </w:rPr>
      </w:pPr>
    </w:p>
    <w:p w14:paraId="4AB540F7" w14:textId="77777777" w:rsidR="00310783" w:rsidRPr="00310783" w:rsidRDefault="00310783" w:rsidP="004D77A7">
      <w:pPr>
        <w:shd w:val="clear" w:color="auto" w:fill="FFFFFF"/>
        <w:spacing w:after="0" w:line="240" w:lineRule="auto"/>
        <w:jc w:val="both"/>
        <w:rPr>
          <w:rFonts w:ascii="Bookman Old Style" w:hAnsi="Bookman Old Style" w:cs="Aptos"/>
          <w:b/>
          <w:bCs/>
          <w:color w:val="004F88"/>
          <w:kern w:val="0"/>
        </w:rPr>
      </w:pPr>
    </w:p>
    <w:p w14:paraId="3467D941" w14:textId="496F6263" w:rsidR="00310783" w:rsidRPr="00310783" w:rsidRDefault="00310783" w:rsidP="00310783">
      <w:pPr>
        <w:pStyle w:val="Paragrafoelenco"/>
        <w:numPr>
          <w:ilvl w:val="0"/>
          <w:numId w:val="5"/>
        </w:numPr>
        <w:spacing w:after="0" w:line="240" w:lineRule="auto"/>
        <w:jc w:val="both"/>
        <w:rPr>
          <w:rFonts w:ascii="Bookman Old Style" w:hAnsi="Bookman Old Style" w:cs="Aptos"/>
          <w:b/>
          <w:bCs/>
          <w:color w:val="004F88"/>
          <w:kern w:val="0"/>
        </w:rPr>
      </w:pPr>
      <w:r w:rsidRPr="00310783">
        <w:rPr>
          <w:rFonts w:ascii="Bookman Old Style" w:hAnsi="Bookman Old Style" w:cs="Aptos"/>
          <w:b/>
          <w:bCs/>
          <w:color w:val="004F88"/>
          <w:kern w:val="0"/>
        </w:rPr>
        <w:t xml:space="preserve">Fusioni di Comuni- erogazione contributi straordinari (Art. 2, comma 2 </w:t>
      </w:r>
      <w:r w:rsidR="003614C4">
        <w:rPr>
          <w:rFonts w:ascii="Bookman Old Style" w:hAnsi="Bookman Old Style" w:cs="Aptos"/>
          <w:b/>
          <w:bCs/>
          <w:color w:val="004F88"/>
          <w:kern w:val="0"/>
        </w:rPr>
        <w:t>ter</w:t>
      </w:r>
      <w:r w:rsidRPr="00310783">
        <w:rPr>
          <w:rFonts w:ascii="Bookman Old Style" w:hAnsi="Bookman Old Style" w:cs="Aptos"/>
          <w:b/>
          <w:bCs/>
          <w:color w:val="004F88"/>
          <w:kern w:val="0"/>
        </w:rPr>
        <w:t>)</w:t>
      </w:r>
    </w:p>
    <w:p w14:paraId="20E15111" w14:textId="597634C4" w:rsidR="00310783" w:rsidRPr="00940DDA" w:rsidRDefault="00310783" w:rsidP="00310783">
      <w:pPr>
        <w:spacing w:after="0" w:line="240" w:lineRule="auto"/>
        <w:jc w:val="both"/>
        <w:rPr>
          <w:rFonts w:ascii="Bookman Old Style" w:eastAsia="Times New Roman" w:hAnsi="Bookman Old Style"/>
          <w:u w:val="single"/>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Pr="005968FB">
        <w:rPr>
          <w:rFonts w:ascii="Bookman Old Style" w:eastAsiaTheme="majorEastAsia" w:hAnsi="Bookman Old Style" w:cstheme="majorBidi"/>
          <w:b/>
          <w:bCs/>
        </w:rPr>
        <w:t>richiesta dall’ANCI</w:t>
      </w:r>
      <w:r w:rsidRPr="00FB740B">
        <w:rPr>
          <w:rFonts w:ascii="Bookman Old Style" w:eastAsiaTheme="majorEastAsia" w:hAnsi="Bookman Old Style" w:cstheme="majorBidi"/>
        </w:rPr>
        <w:t xml:space="preserve"> e approvata nelle commissioni in sede referente</w:t>
      </w:r>
      <w:r>
        <w:rPr>
          <w:rFonts w:ascii="Bookman Old Style" w:eastAsiaTheme="majorEastAsia" w:hAnsi="Bookman Old Style" w:cstheme="majorBidi"/>
        </w:rPr>
        <w:t>, prevede l’estensione di ulteriori sette anni (in luogo dei precedenti cinque) dei contributi straordinari erogati dallo Stato</w:t>
      </w:r>
      <w:r w:rsidRPr="00310783">
        <w:rPr>
          <w:rFonts w:ascii="Bookman Old Style" w:eastAsia="Times New Roman" w:hAnsi="Bookman Old Style"/>
        </w:rPr>
        <w:t xml:space="preserve"> per le fusioni dei </w:t>
      </w:r>
      <w:r>
        <w:rPr>
          <w:rFonts w:ascii="Bookman Old Style" w:eastAsia="Times New Roman" w:hAnsi="Bookman Old Style"/>
        </w:rPr>
        <w:t>C</w:t>
      </w:r>
      <w:r w:rsidRPr="00310783">
        <w:rPr>
          <w:rFonts w:ascii="Bookman Old Style" w:eastAsia="Times New Roman" w:hAnsi="Bookman Old Style"/>
        </w:rPr>
        <w:t>omuni realizzat</w:t>
      </w:r>
      <w:r>
        <w:rPr>
          <w:rFonts w:ascii="Bookman Old Style" w:eastAsia="Times New Roman" w:hAnsi="Bookman Old Style"/>
        </w:rPr>
        <w:t>e</w:t>
      </w:r>
      <w:r w:rsidRPr="00310783">
        <w:rPr>
          <w:rFonts w:ascii="Bookman Old Style" w:eastAsia="Times New Roman" w:hAnsi="Bookman Old Style"/>
        </w:rPr>
        <w:t xml:space="preserve"> a decorrere </w:t>
      </w:r>
      <w:r w:rsidRPr="00940DDA">
        <w:rPr>
          <w:rFonts w:ascii="Bookman Old Style" w:eastAsia="Times New Roman" w:hAnsi="Bookman Old Style"/>
          <w:u w:val="single"/>
        </w:rPr>
        <w:t xml:space="preserve">dal 1° gennaio 2014 (Art. 15, comma 3 bis </w:t>
      </w:r>
      <w:proofErr w:type="spellStart"/>
      <w:r w:rsidR="00C718DB" w:rsidRPr="00940DDA">
        <w:rPr>
          <w:rFonts w:ascii="Bookman Old Style" w:eastAsia="Times New Roman" w:hAnsi="Bookman Old Style"/>
          <w:u w:val="single"/>
        </w:rPr>
        <w:t>D.lgs</w:t>
      </w:r>
      <w:proofErr w:type="spellEnd"/>
      <w:r w:rsidR="00C718DB" w:rsidRPr="00940DDA">
        <w:rPr>
          <w:rFonts w:ascii="Bookman Old Style" w:eastAsia="Times New Roman" w:hAnsi="Bookman Old Style"/>
          <w:u w:val="single"/>
        </w:rPr>
        <w:t xml:space="preserve"> 267/2000</w:t>
      </w:r>
      <w:r w:rsidRPr="00940DDA">
        <w:rPr>
          <w:rFonts w:ascii="Bookman Old Style" w:eastAsia="Times New Roman" w:hAnsi="Bookman Old Style"/>
          <w:u w:val="single"/>
        </w:rPr>
        <w:t>).</w:t>
      </w:r>
    </w:p>
    <w:p w14:paraId="698192CC" w14:textId="77777777" w:rsidR="00ED46FF" w:rsidRDefault="00ED46FF" w:rsidP="00310783">
      <w:pPr>
        <w:spacing w:after="0" w:line="240" w:lineRule="auto"/>
        <w:jc w:val="both"/>
        <w:rPr>
          <w:rFonts w:ascii="Bookman Old Style" w:eastAsia="Times New Roman" w:hAnsi="Bookman Old Style"/>
        </w:rPr>
      </w:pPr>
    </w:p>
    <w:p w14:paraId="7C309687" w14:textId="77777777" w:rsidR="00ED46FF" w:rsidRPr="00CC3F71" w:rsidRDefault="00ED46FF" w:rsidP="00ED46FF">
      <w:pPr>
        <w:spacing w:after="0" w:line="240" w:lineRule="auto"/>
        <w:ind w:left="720"/>
        <w:contextualSpacing/>
        <w:rPr>
          <w:rFonts w:ascii="Bookman Old Style" w:eastAsia="Times New Roman" w:hAnsi="Bookman Old Style" w:cs="Calibri"/>
          <w:kern w:val="0"/>
        </w:rPr>
      </w:pPr>
    </w:p>
    <w:p w14:paraId="6F0BA3E3" w14:textId="69DB56F4" w:rsidR="00ED46FF" w:rsidRPr="002F2742" w:rsidRDefault="008E1562" w:rsidP="00ED46FF">
      <w:pPr>
        <w:pStyle w:val="Paragrafoelenco"/>
        <w:numPr>
          <w:ilvl w:val="0"/>
          <w:numId w:val="1"/>
        </w:numPr>
        <w:spacing w:after="0" w:line="240" w:lineRule="auto"/>
        <w:jc w:val="both"/>
        <w:rPr>
          <w:rFonts w:ascii="Bookman Old Style" w:eastAsia="Times New Roman" w:hAnsi="Bookman Old Style" w:cs="Aptos"/>
          <w:kern w:val="0"/>
        </w:rPr>
      </w:pPr>
      <w:r>
        <w:rPr>
          <w:rFonts w:ascii="Bookman Old Style" w:eastAsia="Times New Roman" w:hAnsi="Bookman Old Style" w:cs="Calibri"/>
          <w:b/>
          <w:bCs/>
          <w:color w:val="004F88"/>
          <w:kern w:val="0"/>
        </w:rPr>
        <w:t>D</w:t>
      </w:r>
      <w:r w:rsidR="00ED46FF" w:rsidRPr="002F2742">
        <w:rPr>
          <w:rFonts w:ascii="Bookman Old Style" w:eastAsia="Times New Roman" w:hAnsi="Bookman Old Style" w:cs="Calibri"/>
          <w:b/>
          <w:bCs/>
          <w:color w:val="004F88"/>
          <w:kern w:val="0"/>
        </w:rPr>
        <w:t xml:space="preserve">isposizioni in materia di </w:t>
      </w:r>
      <w:proofErr w:type="gramStart"/>
      <w:r w:rsidR="00ED46FF" w:rsidRPr="002F2742">
        <w:rPr>
          <w:rFonts w:ascii="Bookman Old Style" w:eastAsia="Times New Roman" w:hAnsi="Bookman Old Style" w:cs="Calibri"/>
          <w:b/>
          <w:bCs/>
          <w:color w:val="004F88"/>
          <w:kern w:val="0"/>
        </w:rPr>
        <w:t>vice segretari</w:t>
      </w:r>
      <w:proofErr w:type="gramEnd"/>
      <w:r w:rsidR="00ED46FF" w:rsidRPr="002F2742">
        <w:rPr>
          <w:rFonts w:ascii="Bookman Old Style" w:eastAsia="Times New Roman" w:hAnsi="Bookman Old Style" w:cs="Calibri"/>
          <w:b/>
          <w:bCs/>
          <w:color w:val="004F88"/>
          <w:kern w:val="0"/>
        </w:rPr>
        <w:t xml:space="preserve"> comunali</w:t>
      </w:r>
      <w:r w:rsidR="00ED46FF">
        <w:rPr>
          <w:rFonts w:ascii="Bookman Old Style" w:eastAsia="Times New Roman" w:hAnsi="Bookman Old Style" w:cs="Calibri"/>
          <w:b/>
          <w:bCs/>
          <w:color w:val="004F88"/>
          <w:kern w:val="0"/>
        </w:rPr>
        <w:t xml:space="preserve"> (Art. 2, commi 6 bis-6 ter)</w:t>
      </w:r>
    </w:p>
    <w:p w14:paraId="2C9B3C91" w14:textId="2A14C0EC" w:rsidR="00ED46FF" w:rsidRDefault="00ED46FF" w:rsidP="00544192">
      <w:pPr>
        <w:spacing w:after="0" w:line="240" w:lineRule="auto"/>
        <w:jc w:val="both"/>
        <w:rPr>
          <w:rFonts w:ascii="Bookman Old Style" w:eastAsia="Times New Roman" w:hAnsi="Bookman Old Style" w:cs="Aptos"/>
          <w:kern w:val="0"/>
        </w:rPr>
      </w:pPr>
      <w:r w:rsidRPr="00FB740B">
        <w:rPr>
          <w:rFonts w:ascii="Bookman Old Style" w:hAnsi="Bookman Old Style" w:cs="Aptos"/>
          <w:kern w:val="0"/>
        </w:rPr>
        <w:t>L</w:t>
      </w:r>
      <w:r w:rsidRPr="00FB740B">
        <w:rPr>
          <w:rFonts w:ascii="Bookman Old Style" w:eastAsiaTheme="majorEastAsia" w:hAnsi="Bookman Old Style" w:cstheme="majorBidi"/>
        </w:rPr>
        <w:t>a norma</w:t>
      </w:r>
      <w:r w:rsidR="00E24102">
        <w:rPr>
          <w:rFonts w:ascii="Bookman Old Style" w:eastAsiaTheme="majorEastAsia" w:hAnsi="Bookman Old Style" w:cstheme="majorBidi"/>
        </w:rPr>
        <w:t xml:space="preserve"> </w:t>
      </w:r>
      <w:r w:rsidRPr="00372449">
        <w:rPr>
          <w:rFonts w:ascii="Bookman Old Style" w:eastAsiaTheme="majorEastAsia" w:hAnsi="Bookman Old Style" w:cstheme="majorBidi"/>
        </w:rPr>
        <w:t>riformula</w:t>
      </w:r>
      <w:r w:rsidR="00E24102">
        <w:rPr>
          <w:rFonts w:ascii="Bookman Old Style" w:eastAsiaTheme="majorEastAsia" w:hAnsi="Bookman Old Style" w:cstheme="majorBidi"/>
        </w:rPr>
        <w:t xml:space="preserve"> un emendamento dell’ANCI</w:t>
      </w:r>
      <w:r w:rsidRPr="00372449">
        <w:rPr>
          <w:rFonts w:ascii="Bookman Old Style" w:eastAsiaTheme="majorEastAsia" w:hAnsi="Bookman Old Style" w:cstheme="majorBidi"/>
        </w:rPr>
        <w:t xml:space="preserve"> </w:t>
      </w:r>
      <w:r w:rsidR="003B07D5">
        <w:rPr>
          <w:rFonts w:ascii="Bookman Old Style" w:eastAsiaTheme="majorEastAsia" w:hAnsi="Bookman Old Style" w:cstheme="majorBidi"/>
        </w:rPr>
        <w:t>e prevede che</w:t>
      </w:r>
      <w:r w:rsidR="00CD1C77">
        <w:rPr>
          <w:rFonts w:ascii="Bookman Old Style" w:eastAsiaTheme="majorEastAsia" w:hAnsi="Bookman Old Style" w:cstheme="majorBidi"/>
        </w:rPr>
        <w:t xml:space="preserve">, </w:t>
      </w:r>
      <w:r w:rsidR="00CD1C77" w:rsidRPr="00701D67">
        <w:rPr>
          <w:rFonts w:ascii="Bookman Old Style" w:eastAsiaTheme="majorEastAsia" w:hAnsi="Bookman Old Style" w:cstheme="majorBidi"/>
          <w:b/>
          <w:bCs/>
        </w:rPr>
        <w:t>a decorrere d</w:t>
      </w:r>
      <w:r w:rsidR="00544192" w:rsidRPr="00701D67">
        <w:rPr>
          <w:rFonts w:ascii="Bookman Old Style" w:eastAsiaTheme="majorEastAsia" w:hAnsi="Bookman Old Style" w:cstheme="majorBidi"/>
          <w:b/>
          <w:bCs/>
        </w:rPr>
        <w:t>alla data di entrata in vigore</w:t>
      </w:r>
      <w:r w:rsidR="00CD1C77" w:rsidRPr="00701D67">
        <w:rPr>
          <w:rFonts w:ascii="Bookman Old Style" w:eastAsiaTheme="majorEastAsia" w:hAnsi="Bookman Old Style" w:cstheme="majorBidi"/>
          <w:b/>
          <w:bCs/>
        </w:rPr>
        <w:t xml:space="preserve"> </w:t>
      </w:r>
      <w:r w:rsidR="00544192" w:rsidRPr="00701D67">
        <w:rPr>
          <w:rFonts w:ascii="Bookman Old Style" w:eastAsiaTheme="majorEastAsia" w:hAnsi="Bookman Old Style" w:cstheme="majorBidi"/>
          <w:b/>
          <w:bCs/>
        </w:rPr>
        <w:t>della legge di conversione del presente</w:t>
      </w:r>
      <w:r w:rsidR="00CD1C77" w:rsidRPr="00701D67">
        <w:rPr>
          <w:rFonts w:ascii="Bookman Old Style" w:eastAsiaTheme="majorEastAsia" w:hAnsi="Bookman Old Style" w:cstheme="majorBidi"/>
          <w:b/>
          <w:bCs/>
        </w:rPr>
        <w:t xml:space="preserve"> </w:t>
      </w:r>
      <w:r w:rsidR="00544192" w:rsidRPr="00701D67">
        <w:rPr>
          <w:rFonts w:ascii="Bookman Old Style" w:eastAsiaTheme="majorEastAsia" w:hAnsi="Bookman Old Style" w:cstheme="majorBidi"/>
          <w:b/>
          <w:bCs/>
        </w:rPr>
        <w:t>decreto fino al 31 dicembre 2026</w:t>
      </w:r>
      <w:r w:rsidR="00544192" w:rsidRPr="00544192">
        <w:rPr>
          <w:rFonts w:ascii="Bookman Old Style" w:eastAsiaTheme="majorEastAsia" w:hAnsi="Bookman Old Style" w:cstheme="majorBidi"/>
        </w:rPr>
        <w:t>,</w:t>
      </w:r>
      <w:r w:rsidRPr="002F2742">
        <w:rPr>
          <w:rFonts w:ascii="Bookman Old Style" w:eastAsia="Times New Roman" w:hAnsi="Bookman Old Style" w:cs="Aptos"/>
          <w:kern w:val="0"/>
        </w:rPr>
        <w:t xml:space="preserve"> nei comuni con popolazione non superiore a 3.000 abitanti senza un segretario comunale e i cui concorsi di nomina siano andati deserti, né risulti possibil</w:t>
      </w:r>
      <w:r w:rsidR="002F0155">
        <w:rPr>
          <w:rFonts w:ascii="Bookman Old Style" w:eastAsia="Times New Roman" w:hAnsi="Bookman Old Style" w:cs="Aptos"/>
          <w:kern w:val="0"/>
        </w:rPr>
        <w:t>e</w:t>
      </w:r>
      <w:r w:rsidRPr="002F2742">
        <w:rPr>
          <w:rFonts w:ascii="Bookman Old Style" w:eastAsia="Times New Roman" w:hAnsi="Bookman Old Style" w:cs="Aptos"/>
          <w:kern w:val="0"/>
        </w:rPr>
        <w:t xml:space="preserve"> assegnare un segretario reggente a scavalco, </w:t>
      </w:r>
      <w:r w:rsidRPr="003D7D73">
        <w:rPr>
          <w:rFonts w:ascii="Bookman Old Style" w:eastAsia="Times New Roman" w:hAnsi="Bookman Old Style" w:cs="Aptos"/>
          <w:b/>
          <w:bCs/>
          <w:kern w:val="0"/>
        </w:rPr>
        <w:t xml:space="preserve">le funzioni del vicesegretario </w:t>
      </w:r>
      <w:r w:rsidR="004450E4">
        <w:rPr>
          <w:rFonts w:ascii="Bookman Old Style" w:eastAsia="Times New Roman" w:hAnsi="Bookman Old Style" w:cs="Aptos"/>
          <w:b/>
          <w:bCs/>
          <w:kern w:val="0"/>
        </w:rPr>
        <w:t xml:space="preserve">possano essere attribuite </w:t>
      </w:r>
      <w:r w:rsidRPr="003D7D73">
        <w:rPr>
          <w:rFonts w:ascii="Bookman Old Style" w:eastAsia="Times New Roman" w:hAnsi="Bookman Old Style" w:cs="Aptos"/>
          <w:b/>
          <w:bCs/>
          <w:kern w:val="0"/>
        </w:rPr>
        <w:lastRenderedPageBreak/>
        <w:t>ad un funzionario di ruolo in servizio da almeno due anni presso un ente locale, in possesso dei requisiti per la partecipazione al concorso</w:t>
      </w:r>
      <w:r w:rsidRPr="002F2742">
        <w:rPr>
          <w:rFonts w:ascii="Bookman Old Style" w:eastAsia="Times New Roman" w:hAnsi="Bookman Old Style" w:cs="Aptos"/>
          <w:kern w:val="0"/>
        </w:rPr>
        <w:t xml:space="preserve">, previo assenso dell'ente locale di appartenenza e consenso dello stesso interessato. Il funzionario incaricato è tenuto </w:t>
      </w:r>
      <w:proofErr w:type="gramStart"/>
      <w:r w:rsidRPr="002F2742">
        <w:rPr>
          <w:rFonts w:ascii="Bookman Old Style" w:eastAsia="Times New Roman" w:hAnsi="Bookman Old Style" w:cs="Aptos"/>
          <w:kern w:val="0"/>
        </w:rPr>
        <w:t>a</w:t>
      </w:r>
      <w:proofErr w:type="gramEnd"/>
      <w:r w:rsidRPr="002F2742">
        <w:rPr>
          <w:rFonts w:ascii="Bookman Old Style" w:eastAsia="Times New Roman" w:hAnsi="Bookman Old Style" w:cs="Aptos"/>
          <w:kern w:val="0"/>
        </w:rPr>
        <w:t xml:space="preserve"> assolvere a un obbligo formativo di almeno 20 ore mediante la partecipazione a corsi, anche con modalità telematiche, secondo le modalità stabilite dal Consiglio direttivo dell'albo nazionale dei segretari comunali e provinciali. Entro 90 giorni dal conferimento di tale incarico il sindaco è tenuto ad avviare una nuova procedura di pubblicizzazione per la nomina del segretario titolare, e il Ministero dell’interno può in ogni momento nominare un segretario reggente. Tali disposizioni si applicano anche se il comune stipuli una convenzione per l'ufficio di segreteria avente una popolazione complessiva non superiore a 3.000 abitanti.</w:t>
      </w:r>
    </w:p>
    <w:p w14:paraId="5ED3BE18" w14:textId="77777777" w:rsidR="00ED46FF" w:rsidRPr="00310783" w:rsidRDefault="00ED46FF" w:rsidP="00310783">
      <w:pPr>
        <w:spacing w:after="0" w:line="240" w:lineRule="auto"/>
        <w:jc w:val="both"/>
        <w:rPr>
          <w:rFonts w:ascii="Bookman Old Style" w:eastAsia="Times New Roman" w:hAnsi="Bookman Old Style"/>
        </w:rPr>
      </w:pPr>
    </w:p>
    <w:p w14:paraId="19F6AEB9" w14:textId="77777777" w:rsidR="00310783" w:rsidRPr="00CC3F71" w:rsidRDefault="00310783" w:rsidP="004D77A7">
      <w:pPr>
        <w:shd w:val="clear" w:color="auto" w:fill="FFFFFF"/>
        <w:spacing w:after="0" w:line="240" w:lineRule="auto"/>
        <w:jc w:val="both"/>
        <w:rPr>
          <w:rFonts w:ascii="Roboto" w:eastAsiaTheme="majorEastAsia" w:hAnsi="Roboto" w:cs="Times New Roman"/>
          <w:i/>
          <w:iCs/>
          <w:color w:val="333333"/>
          <w:kern w:val="0"/>
          <w:sz w:val="23"/>
          <w:szCs w:val="23"/>
          <w:lang w:eastAsia="it-IT"/>
          <w14:ligatures w14:val="none"/>
        </w:rPr>
      </w:pPr>
    </w:p>
    <w:p w14:paraId="1B3FE2F4" w14:textId="77777777" w:rsidR="00ED46FF" w:rsidRPr="00E01AE7" w:rsidRDefault="00ED46FF" w:rsidP="00ED46FF">
      <w:pPr>
        <w:pStyle w:val="Paragrafoelenco"/>
        <w:numPr>
          <w:ilvl w:val="0"/>
          <w:numId w:val="4"/>
        </w:numPr>
        <w:spacing w:after="0" w:line="240" w:lineRule="auto"/>
        <w:jc w:val="both"/>
        <w:rPr>
          <w:rFonts w:ascii="Bookman Old Style" w:hAnsi="Bookman Old Style" w:cs="Aptos"/>
          <w:b/>
          <w:bCs/>
          <w:color w:val="004F88"/>
          <w:kern w:val="0"/>
        </w:rPr>
      </w:pPr>
      <w:r w:rsidRPr="00E01AE7">
        <w:rPr>
          <w:rFonts w:ascii="Bookman Old Style" w:hAnsi="Bookman Old Style" w:cs="Aptos"/>
          <w:b/>
          <w:bCs/>
          <w:color w:val="004F88"/>
          <w:kern w:val="0"/>
        </w:rPr>
        <w:t xml:space="preserve">Proroga termini efficacia pubblicazione provvedimenti TARI 2025 (Art. 4, comma 12 </w:t>
      </w:r>
      <w:r>
        <w:rPr>
          <w:rFonts w:ascii="Bookman Old Style" w:hAnsi="Bookman Old Style" w:cs="Aptos"/>
          <w:b/>
          <w:bCs/>
          <w:color w:val="004F88"/>
          <w:kern w:val="0"/>
        </w:rPr>
        <w:t>sexies</w:t>
      </w:r>
      <w:r w:rsidRPr="00E01AE7">
        <w:rPr>
          <w:rFonts w:ascii="Bookman Old Style" w:hAnsi="Bookman Old Style" w:cs="Aptos"/>
          <w:b/>
          <w:bCs/>
          <w:color w:val="004F88"/>
          <w:kern w:val="0"/>
        </w:rPr>
        <w:t>)</w:t>
      </w:r>
    </w:p>
    <w:p w14:paraId="7CF26EBF" w14:textId="7C4F44C4" w:rsidR="00ED46FF" w:rsidRDefault="00ED46FF" w:rsidP="00ED46FF">
      <w:pPr>
        <w:spacing w:after="0" w:line="240" w:lineRule="auto"/>
        <w:contextualSpacing/>
        <w:jc w:val="both"/>
        <w:rPr>
          <w:rFonts w:ascii="Bookman Old Style" w:hAnsi="Bookman Old Style" w:cs="Calibri"/>
          <w:kern w:val="0"/>
          <w:lang w:eastAsia="it-IT"/>
          <w14:ligatures w14:val="none"/>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Pr="00796A4F">
        <w:rPr>
          <w:rFonts w:ascii="Bookman Old Style" w:eastAsiaTheme="majorEastAsia" w:hAnsi="Bookman Old Style" w:cstheme="majorBidi"/>
          <w:b/>
          <w:bCs/>
        </w:rPr>
        <w:t>richiesta dall’ANCI</w:t>
      </w:r>
      <w:r w:rsidR="00F33C5A">
        <w:rPr>
          <w:rFonts w:ascii="Bookman Old Style" w:eastAsiaTheme="majorEastAsia" w:hAnsi="Bookman Old Style" w:cstheme="majorBidi"/>
          <w:b/>
          <w:bCs/>
        </w:rPr>
        <w:t xml:space="preserve"> e fatta propria dal Governo, </w:t>
      </w:r>
      <w:r w:rsidR="00F33C5A" w:rsidRPr="00796A4F">
        <w:rPr>
          <w:rFonts w:ascii="Bookman Old Style" w:hAnsi="Bookman Old Style" w:cs="Calibri"/>
          <w:kern w:val="0"/>
          <w:lang w:eastAsia="it-IT"/>
          <w14:ligatures w14:val="none"/>
        </w:rPr>
        <w:t>prevede</w:t>
      </w:r>
      <w:r w:rsidRPr="00CC3F71">
        <w:rPr>
          <w:rFonts w:ascii="Bookman Old Style" w:hAnsi="Bookman Old Style" w:cs="Calibri"/>
          <w:kern w:val="0"/>
          <w:lang w:eastAsia="it-IT"/>
          <w14:ligatures w14:val="none"/>
        </w:rPr>
        <w:t xml:space="preserve">, limitatamente all’anno 2025, che le delibere concernenti i regolamenti e l’approvazione delle tariffe della tassa sui rifiuti siano considerate tempestive, se inserite nel portale del federalismo fiscale entro il termine del 6 marzo 2026. Le delibere inserite sono pubblicate sul sito internet del Dipartimento delle Finanze ai fini dell’acquisizione della loro efficacia </w:t>
      </w:r>
      <w:r w:rsidRPr="00CC3F71">
        <w:rPr>
          <w:rFonts w:ascii="Bookman Old Style" w:hAnsi="Bookman Old Style" w:cs="Calibri"/>
          <w:b/>
          <w:bCs/>
          <w:kern w:val="0"/>
          <w:lang w:eastAsia="it-IT"/>
          <w14:ligatures w14:val="none"/>
        </w:rPr>
        <w:t>entro il 16 marzo 2026</w:t>
      </w:r>
      <w:r w:rsidRPr="00CC3F71">
        <w:rPr>
          <w:rFonts w:ascii="Bookman Old Style" w:hAnsi="Bookman Old Style" w:cs="Calibri"/>
          <w:kern w:val="0"/>
          <w:lang w:eastAsia="it-IT"/>
          <w14:ligatures w14:val="none"/>
        </w:rPr>
        <w:t xml:space="preserve">. </w:t>
      </w:r>
    </w:p>
    <w:p w14:paraId="4F0E6C28" w14:textId="77777777" w:rsidR="00ED46FF" w:rsidRPr="00CC3F71" w:rsidRDefault="00ED46FF" w:rsidP="00ED46FF">
      <w:pPr>
        <w:spacing w:after="0" w:line="240" w:lineRule="auto"/>
        <w:jc w:val="both"/>
        <w:rPr>
          <w:rFonts w:ascii="Bookman Old Style" w:hAnsi="Bookman Old Style" w:cs="Calibri"/>
          <w:kern w:val="0"/>
          <w:lang w:eastAsia="it-IT"/>
          <w14:ligatures w14:val="none"/>
        </w:rPr>
      </w:pPr>
    </w:p>
    <w:p w14:paraId="77580F46" w14:textId="77777777" w:rsidR="00ED46FF" w:rsidRPr="00BE475C" w:rsidRDefault="00ED46FF" w:rsidP="00ED46FF">
      <w:pPr>
        <w:numPr>
          <w:ilvl w:val="0"/>
          <w:numId w:val="3"/>
        </w:numPr>
        <w:spacing w:after="120" w:line="240" w:lineRule="auto"/>
        <w:contextualSpacing/>
        <w:jc w:val="both"/>
        <w:rPr>
          <w:rFonts w:ascii="Bookman Old Style" w:hAnsi="Bookman Old Style" w:cs="Calibri"/>
          <w:kern w:val="0"/>
        </w:rPr>
      </w:pPr>
      <w:r>
        <w:rPr>
          <w:rFonts w:ascii="Bookman Old Style" w:hAnsi="Bookman Old Style" w:cs="Aptos"/>
          <w:b/>
          <w:bCs/>
          <w:color w:val="004F88"/>
          <w:kern w:val="0"/>
        </w:rPr>
        <w:t xml:space="preserve">Proroga termine domanda </w:t>
      </w:r>
      <w:r w:rsidRPr="00CC3F71">
        <w:rPr>
          <w:rFonts w:ascii="Bookman Old Style" w:hAnsi="Bookman Old Style" w:cs="Aptos"/>
          <w:b/>
          <w:bCs/>
          <w:color w:val="004F88"/>
          <w:kern w:val="0"/>
        </w:rPr>
        <w:t xml:space="preserve">albo pedagogisti </w:t>
      </w:r>
      <w:proofErr w:type="gramStart"/>
      <w:r w:rsidRPr="00CC3F71">
        <w:rPr>
          <w:rFonts w:ascii="Bookman Old Style" w:hAnsi="Bookman Old Style" w:cs="Aptos"/>
          <w:b/>
          <w:bCs/>
          <w:color w:val="004F88"/>
          <w:kern w:val="0"/>
        </w:rPr>
        <w:t>ed</w:t>
      </w:r>
      <w:proofErr w:type="gramEnd"/>
      <w:r w:rsidRPr="00CC3F71">
        <w:rPr>
          <w:rFonts w:ascii="Bookman Old Style" w:hAnsi="Bookman Old Style" w:cs="Aptos"/>
          <w:b/>
          <w:bCs/>
          <w:color w:val="004F88"/>
          <w:kern w:val="0"/>
        </w:rPr>
        <w:t xml:space="preserve"> educatori professionali</w:t>
      </w:r>
      <w:r>
        <w:rPr>
          <w:rFonts w:ascii="Bookman Old Style" w:hAnsi="Bookman Old Style" w:cs="Aptos"/>
          <w:b/>
          <w:bCs/>
          <w:color w:val="004F88"/>
          <w:kern w:val="0"/>
        </w:rPr>
        <w:t xml:space="preserve"> (Art. 6, comma 1 bis)</w:t>
      </w:r>
    </w:p>
    <w:p w14:paraId="084EDAFB" w14:textId="5DD3EE3A" w:rsidR="00ED46FF" w:rsidRPr="00CC3F71" w:rsidRDefault="00ED46FF" w:rsidP="00ED46FF">
      <w:pPr>
        <w:spacing w:after="120" w:line="240" w:lineRule="auto"/>
        <w:contextualSpacing/>
        <w:jc w:val="both"/>
        <w:rPr>
          <w:rFonts w:ascii="Bookman Old Style" w:hAnsi="Bookman Old Style" w:cs="Calibri"/>
          <w:kern w:val="0"/>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Pr="003F623D">
        <w:rPr>
          <w:rFonts w:ascii="Bookman Old Style" w:eastAsiaTheme="majorEastAsia" w:hAnsi="Bookman Old Style" w:cstheme="majorBidi"/>
          <w:b/>
          <w:bCs/>
        </w:rPr>
        <w:t>richiesta da ANCI</w:t>
      </w:r>
      <w:r>
        <w:rPr>
          <w:rFonts w:ascii="Bookman Old Style" w:eastAsiaTheme="majorEastAsia" w:hAnsi="Bookman Old Style" w:cstheme="majorBidi"/>
        </w:rPr>
        <w:t xml:space="preserve"> ed </w:t>
      </w:r>
      <w:r w:rsidRPr="00FB740B">
        <w:rPr>
          <w:rFonts w:ascii="Bookman Old Style" w:eastAsiaTheme="majorEastAsia" w:hAnsi="Bookman Old Style" w:cstheme="majorBidi"/>
        </w:rPr>
        <w:t>approvata nelle commissioni in sede referente</w:t>
      </w:r>
      <w:r w:rsidR="00B54332">
        <w:rPr>
          <w:rFonts w:ascii="Bookman Old Style" w:eastAsiaTheme="majorEastAsia" w:hAnsi="Bookman Old Style" w:cstheme="majorBidi"/>
        </w:rPr>
        <w:t>,</w:t>
      </w:r>
      <w:r>
        <w:rPr>
          <w:rFonts w:ascii="Bookman Old Style" w:eastAsiaTheme="majorEastAsia" w:hAnsi="Bookman Old Style" w:cstheme="majorBidi"/>
        </w:rPr>
        <w:t xml:space="preserve"> p</w:t>
      </w:r>
      <w:r w:rsidRPr="00CC3F71">
        <w:rPr>
          <w:rFonts w:ascii="Bookman Old Style" w:hAnsi="Bookman Old Style" w:cs="Calibri"/>
          <w:kern w:val="0"/>
        </w:rPr>
        <w:t xml:space="preserve">roroga al </w:t>
      </w:r>
      <w:r w:rsidRPr="00E0295B">
        <w:rPr>
          <w:rFonts w:ascii="Bookman Old Style" w:hAnsi="Bookman Old Style" w:cs="Calibri"/>
          <w:b/>
          <w:bCs/>
          <w:kern w:val="0"/>
        </w:rPr>
        <w:t>31 marzo 2027</w:t>
      </w:r>
      <w:r w:rsidRPr="00CC3F71">
        <w:rPr>
          <w:rFonts w:ascii="Bookman Old Style" w:hAnsi="Bookman Old Style" w:cs="Calibri"/>
          <w:kern w:val="0"/>
        </w:rPr>
        <w:t xml:space="preserve"> il termine entro il quale presentare la domanda di iscrizione per gli albi dei pedagogisti e degli educatori professionali socio-pedagogici.</w:t>
      </w:r>
    </w:p>
    <w:p w14:paraId="54338E0C" w14:textId="77777777" w:rsidR="00ED46FF" w:rsidRDefault="00ED46FF" w:rsidP="00ED46FF">
      <w:pPr>
        <w:spacing w:after="120" w:line="240" w:lineRule="auto"/>
        <w:jc w:val="both"/>
        <w:rPr>
          <w:rFonts w:ascii="Bookman Old Style" w:eastAsia="Times New Roman" w:hAnsi="Bookman Old Style" w:cs="Aptos"/>
          <w:kern w:val="0"/>
        </w:rPr>
      </w:pPr>
    </w:p>
    <w:p w14:paraId="58DD4B68" w14:textId="77777777" w:rsidR="00ED46FF" w:rsidRPr="00331DAC" w:rsidRDefault="00ED46FF" w:rsidP="00ED46FF">
      <w:pPr>
        <w:numPr>
          <w:ilvl w:val="0"/>
          <w:numId w:val="1"/>
        </w:numPr>
        <w:spacing w:after="120" w:line="240" w:lineRule="auto"/>
        <w:contextualSpacing/>
        <w:jc w:val="both"/>
        <w:rPr>
          <w:rFonts w:ascii="Bookman Old Style" w:eastAsia="Times New Roman" w:hAnsi="Bookman Old Style" w:cs="Calibri"/>
          <w:kern w:val="0"/>
        </w:rPr>
      </w:pPr>
      <w:r>
        <w:rPr>
          <w:rFonts w:ascii="Bookman Old Style" w:hAnsi="Bookman Old Style" w:cs="Aptos"/>
          <w:b/>
          <w:bCs/>
          <w:color w:val="004F88"/>
          <w:kern w:val="0"/>
        </w:rPr>
        <w:t xml:space="preserve">Proroga adozione decreto </w:t>
      </w:r>
      <w:r w:rsidRPr="00CC3F71">
        <w:rPr>
          <w:rFonts w:ascii="Bookman Old Style" w:hAnsi="Bookman Old Style" w:cs="Aptos"/>
          <w:b/>
          <w:bCs/>
          <w:color w:val="004F88"/>
          <w:kern w:val="0"/>
        </w:rPr>
        <w:t>rischi edifici scolastici</w:t>
      </w:r>
      <w:r w:rsidRPr="00331DAC">
        <w:rPr>
          <w:rFonts w:ascii="Bookman Old Style" w:hAnsi="Bookman Old Style" w:cs="Aptos"/>
          <w:b/>
          <w:bCs/>
          <w:color w:val="004F88"/>
          <w:kern w:val="0"/>
        </w:rPr>
        <w:t xml:space="preserve"> (Art. 6, comma 6 bis)</w:t>
      </w:r>
    </w:p>
    <w:p w14:paraId="3CA2C7F2" w14:textId="77777777" w:rsidR="00ED46FF" w:rsidRDefault="00ED46FF" w:rsidP="00ED46FF">
      <w:pPr>
        <w:spacing w:after="120" w:line="240" w:lineRule="auto"/>
        <w:contextualSpacing/>
        <w:jc w:val="both"/>
        <w:rPr>
          <w:rFonts w:ascii="Bookman Old Style" w:eastAsia="Times New Roman" w:hAnsi="Bookman Old Style" w:cs="Aptos"/>
          <w:kern w:val="0"/>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Pr="005968FB">
        <w:rPr>
          <w:rFonts w:ascii="Bookman Old Style" w:eastAsiaTheme="majorEastAsia" w:hAnsi="Bookman Old Style" w:cstheme="majorBidi"/>
          <w:b/>
          <w:bCs/>
        </w:rPr>
        <w:t>richiesta dall’ANCI</w:t>
      </w:r>
      <w:r w:rsidRPr="00FB740B">
        <w:rPr>
          <w:rFonts w:ascii="Bookman Old Style" w:eastAsiaTheme="majorEastAsia" w:hAnsi="Bookman Old Style" w:cstheme="majorBidi"/>
        </w:rPr>
        <w:t xml:space="preserve"> e approvata nelle commissioni in sede referente</w:t>
      </w:r>
      <w:r>
        <w:rPr>
          <w:rFonts w:ascii="Bookman Old Style" w:eastAsiaTheme="majorEastAsia" w:hAnsi="Bookman Old Style" w:cstheme="majorBidi"/>
        </w:rPr>
        <w:t xml:space="preserve">, </w:t>
      </w:r>
      <w:r w:rsidRPr="00331DAC">
        <w:rPr>
          <w:rFonts w:ascii="Bookman Old Style" w:eastAsiaTheme="majorEastAsia" w:hAnsi="Bookman Old Style" w:cstheme="majorBidi"/>
          <w:b/>
          <w:bCs/>
        </w:rPr>
        <w:t>p</w:t>
      </w:r>
      <w:r w:rsidRPr="00CC3F71">
        <w:rPr>
          <w:rFonts w:ascii="Bookman Old Style" w:eastAsia="Times New Roman" w:hAnsi="Bookman Old Style" w:cs="Aptos"/>
          <w:b/>
          <w:bCs/>
          <w:kern w:val="0"/>
        </w:rPr>
        <w:t xml:space="preserve">roroga al 31 dicembre 2026 </w:t>
      </w:r>
      <w:r w:rsidRPr="00CC3F71">
        <w:rPr>
          <w:rFonts w:ascii="Bookman Old Style" w:eastAsia="Times New Roman" w:hAnsi="Bookman Old Style" w:cs="Aptos"/>
          <w:kern w:val="0"/>
        </w:rPr>
        <w:t>l'adozione del decreto del Ministro dell'istruzione e del merito, di concerto con il Ministro del lavoro e delle politiche sociali, che definisce le modalità di valutazione congiunta dei rischi connessi agli edifici scolastici.</w:t>
      </w:r>
    </w:p>
    <w:p w14:paraId="4BDD6FB9" w14:textId="77777777" w:rsidR="00ED46FF" w:rsidRDefault="00ED46FF" w:rsidP="00ED46FF">
      <w:pPr>
        <w:spacing w:after="120" w:line="240" w:lineRule="auto"/>
        <w:contextualSpacing/>
        <w:jc w:val="both"/>
        <w:rPr>
          <w:rFonts w:ascii="Bookman Old Style" w:eastAsia="Times New Roman" w:hAnsi="Bookman Old Style" w:cs="Aptos"/>
          <w:kern w:val="0"/>
        </w:rPr>
      </w:pPr>
    </w:p>
    <w:p w14:paraId="17DC6CC4" w14:textId="77777777" w:rsidR="00ED46FF" w:rsidRPr="004D77A7" w:rsidRDefault="00ED46FF" w:rsidP="00ED46FF">
      <w:pPr>
        <w:pStyle w:val="Paragrafoelenco"/>
        <w:numPr>
          <w:ilvl w:val="0"/>
          <w:numId w:val="4"/>
        </w:numPr>
        <w:spacing w:after="0" w:line="240" w:lineRule="auto"/>
        <w:jc w:val="both"/>
        <w:rPr>
          <w:rFonts w:ascii="Bookman Old Style" w:eastAsiaTheme="majorEastAsia" w:hAnsi="Bookman Old Style" w:cstheme="majorBidi"/>
        </w:rPr>
      </w:pPr>
      <w:r w:rsidRPr="004D77A7">
        <w:rPr>
          <w:rFonts w:ascii="Bookman Old Style" w:hAnsi="Bookman Old Style" w:cs="Aptos"/>
          <w:b/>
          <w:bCs/>
          <w:color w:val="004F88"/>
          <w:kern w:val="0"/>
        </w:rPr>
        <w:t xml:space="preserve">Proroga modalità riparto TPL (Art. 9, comma 2 </w:t>
      </w:r>
      <w:r>
        <w:rPr>
          <w:rFonts w:ascii="Bookman Old Style" w:hAnsi="Bookman Old Style" w:cs="Aptos"/>
          <w:b/>
          <w:bCs/>
          <w:color w:val="004F88"/>
          <w:kern w:val="0"/>
        </w:rPr>
        <w:t>ter</w:t>
      </w:r>
      <w:r w:rsidRPr="004D77A7">
        <w:rPr>
          <w:rFonts w:ascii="Bookman Old Style" w:hAnsi="Bookman Old Style" w:cs="Aptos"/>
          <w:b/>
          <w:bCs/>
          <w:color w:val="004F88"/>
          <w:kern w:val="0"/>
        </w:rPr>
        <w:t>)</w:t>
      </w:r>
    </w:p>
    <w:p w14:paraId="5D0148C4" w14:textId="2A9CA167" w:rsidR="00ED46FF" w:rsidRDefault="00ED46FF" w:rsidP="007E113A">
      <w:pPr>
        <w:spacing w:after="0" w:line="240" w:lineRule="auto"/>
        <w:jc w:val="both"/>
        <w:rPr>
          <w:rFonts w:ascii="Bookman Old Style" w:eastAsia="Times New Roman" w:hAnsi="Bookman Old Style" w:cs="Aptos"/>
          <w:kern w:val="0"/>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Pr="005968FB">
        <w:rPr>
          <w:rFonts w:ascii="Bookman Old Style" w:eastAsiaTheme="majorEastAsia" w:hAnsi="Bookman Old Style" w:cstheme="majorBidi"/>
          <w:b/>
          <w:bCs/>
        </w:rPr>
        <w:t>richiesta dall’ANCI</w:t>
      </w:r>
      <w:r w:rsidRPr="00FB740B">
        <w:rPr>
          <w:rFonts w:ascii="Bookman Old Style" w:eastAsiaTheme="majorEastAsia" w:hAnsi="Bookman Old Style" w:cstheme="majorBidi"/>
        </w:rPr>
        <w:t xml:space="preserve"> e approvata nelle commissioni in sede referente, proroga la modalità di ripartizione fondo nazionale </w:t>
      </w:r>
      <w:r>
        <w:rPr>
          <w:rFonts w:ascii="Bookman Old Style" w:eastAsiaTheme="majorEastAsia" w:hAnsi="Bookman Old Style" w:cstheme="majorBidi"/>
        </w:rPr>
        <w:t>per il trasporto pubblico locale</w:t>
      </w:r>
      <w:r w:rsidRPr="00FB740B">
        <w:rPr>
          <w:rFonts w:ascii="Bookman Old Style" w:eastAsiaTheme="majorEastAsia" w:hAnsi="Bookman Old Style" w:cstheme="majorBidi"/>
        </w:rPr>
        <w:t xml:space="preserve"> </w:t>
      </w:r>
      <w:r w:rsidRPr="00FB740B">
        <w:rPr>
          <w:rFonts w:ascii="Bookman Old Style" w:hAnsi="Bookman Old Style"/>
        </w:rPr>
        <w:t>secondo quanto finora distribuito e a copertura dei contratti di servizio in essere</w:t>
      </w:r>
      <w:r>
        <w:rPr>
          <w:rFonts w:ascii="Bookman Old Style" w:hAnsi="Bookman Old Style"/>
        </w:rPr>
        <w:t xml:space="preserve">. </w:t>
      </w:r>
    </w:p>
    <w:p w14:paraId="6F1E67FE" w14:textId="77777777" w:rsidR="00ED46FF" w:rsidRDefault="00ED46FF" w:rsidP="00ED46FF">
      <w:pPr>
        <w:spacing w:after="120" w:line="240" w:lineRule="auto"/>
        <w:contextualSpacing/>
        <w:jc w:val="both"/>
        <w:rPr>
          <w:rFonts w:ascii="Bookman Old Style" w:eastAsia="Times New Roman" w:hAnsi="Bookman Old Style" w:cs="Aptos"/>
          <w:kern w:val="0"/>
        </w:rPr>
      </w:pPr>
    </w:p>
    <w:p w14:paraId="55223D8D" w14:textId="0A5CFE8A" w:rsidR="00502594" w:rsidRPr="00ED46FF" w:rsidRDefault="00ED46FF" w:rsidP="006223AA">
      <w:pPr>
        <w:spacing w:after="0" w:line="240" w:lineRule="auto"/>
        <w:jc w:val="both"/>
        <w:rPr>
          <w:rFonts w:ascii="Bookman Old Style" w:eastAsia="Times New Roman" w:hAnsi="Bookman Old Style" w:cs="Aptos"/>
          <w:b/>
          <w:bCs/>
          <w:color w:val="215E99" w:themeColor="text2" w:themeTint="BF"/>
          <w:kern w:val="0"/>
        </w:rPr>
      </w:pPr>
      <w:r w:rsidRPr="00ED46FF">
        <w:rPr>
          <w:rFonts w:ascii="Bookman Old Style" w:eastAsia="Times New Roman" w:hAnsi="Bookman Old Style" w:cs="Aptos"/>
          <w:b/>
          <w:bCs/>
          <w:color w:val="215E99" w:themeColor="text2" w:themeTint="BF"/>
          <w:kern w:val="0"/>
        </w:rPr>
        <w:t>ULTERIORI DISPOS</w:t>
      </w:r>
      <w:r>
        <w:rPr>
          <w:rFonts w:ascii="Bookman Old Style" w:eastAsia="Times New Roman" w:hAnsi="Bookman Old Style" w:cs="Aptos"/>
          <w:b/>
          <w:bCs/>
          <w:color w:val="215E99" w:themeColor="text2" w:themeTint="BF"/>
          <w:kern w:val="0"/>
        </w:rPr>
        <w:t>I</w:t>
      </w:r>
      <w:r w:rsidRPr="00ED46FF">
        <w:rPr>
          <w:rFonts w:ascii="Bookman Old Style" w:eastAsia="Times New Roman" w:hAnsi="Bookman Old Style" w:cs="Aptos"/>
          <w:b/>
          <w:bCs/>
          <w:color w:val="215E99" w:themeColor="text2" w:themeTint="BF"/>
          <w:kern w:val="0"/>
        </w:rPr>
        <w:t>ZIONI DI INTERESSE</w:t>
      </w:r>
    </w:p>
    <w:p w14:paraId="1B27B454" w14:textId="77777777" w:rsidR="00ED46FF" w:rsidRDefault="00ED46FF" w:rsidP="00ED46FF">
      <w:pPr>
        <w:spacing w:after="0" w:line="240" w:lineRule="auto"/>
        <w:jc w:val="both"/>
        <w:rPr>
          <w:rFonts w:ascii="Bookman Old Style" w:hAnsi="Bookman Old Style" w:cs="Aptos"/>
          <w:kern w:val="0"/>
        </w:rPr>
      </w:pPr>
    </w:p>
    <w:p w14:paraId="5D3DAEE4" w14:textId="77777777" w:rsidR="00ED46FF" w:rsidRPr="00CC3F71" w:rsidRDefault="00ED46FF" w:rsidP="00ED46FF">
      <w:pPr>
        <w:spacing w:after="0" w:line="240" w:lineRule="auto"/>
        <w:jc w:val="both"/>
        <w:rPr>
          <w:rFonts w:ascii="Bookman Old Style" w:hAnsi="Bookman Old Style" w:cs="Aptos"/>
          <w:kern w:val="0"/>
        </w:rPr>
      </w:pPr>
    </w:p>
    <w:p w14:paraId="226B3965" w14:textId="77777777" w:rsidR="00ED46FF" w:rsidRPr="00E01AE7" w:rsidRDefault="00ED46FF" w:rsidP="00ED46FF">
      <w:pPr>
        <w:numPr>
          <w:ilvl w:val="0"/>
          <w:numId w:val="3"/>
        </w:numPr>
        <w:spacing w:after="120" w:line="240" w:lineRule="auto"/>
        <w:contextualSpacing/>
        <w:jc w:val="both"/>
        <w:rPr>
          <w:rFonts w:ascii="Bookman Old Style" w:hAnsi="Bookman Old Style" w:cs="Aptos"/>
          <w:b/>
          <w:bCs/>
          <w:color w:val="004F88"/>
          <w:kern w:val="0"/>
        </w:rPr>
      </w:pPr>
      <w:r>
        <w:rPr>
          <w:rFonts w:ascii="Bookman Old Style" w:hAnsi="Bookman Old Style" w:cs="Aptos"/>
          <w:b/>
          <w:bCs/>
          <w:color w:val="004F88"/>
          <w:kern w:val="0"/>
        </w:rPr>
        <w:t>O</w:t>
      </w:r>
      <w:r w:rsidRPr="00CC3F71">
        <w:rPr>
          <w:rFonts w:ascii="Bookman Old Style" w:hAnsi="Bookman Old Style" w:cs="Aptos"/>
          <w:b/>
          <w:bCs/>
          <w:color w:val="004F88"/>
          <w:kern w:val="0"/>
        </w:rPr>
        <w:t>bblighi assicurativi pubblici funzionari</w:t>
      </w:r>
      <w:r>
        <w:rPr>
          <w:rFonts w:ascii="Bookman Old Style" w:hAnsi="Bookman Old Style" w:cs="Aptos"/>
          <w:b/>
          <w:bCs/>
          <w:color w:val="004F88"/>
          <w:kern w:val="0"/>
        </w:rPr>
        <w:t xml:space="preserve"> (Art. 1, comma 19 quinquies)</w:t>
      </w:r>
    </w:p>
    <w:p w14:paraId="0685A5FF" w14:textId="2DF7257A" w:rsidR="00ED46FF" w:rsidRDefault="00ED46FF" w:rsidP="00ED46FF">
      <w:pPr>
        <w:spacing w:after="120" w:line="240" w:lineRule="auto"/>
        <w:contextualSpacing/>
        <w:jc w:val="both"/>
        <w:rPr>
          <w:rFonts w:ascii="Bookman Old Style" w:hAnsi="Bookman Old Style" w:cs="Calibri"/>
          <w:kern w:val="0"/>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Pr="00796A4F">
        <w:rPr>
          <w:rFonts w:ascii="Bookman Old Style" w:eastAsiaTheme="majorEastAsia" w:hAnsi="Bookman Old Style" w:cstheme="majorBidi"/>
          <w:b/>
          <w:bCs/>
        </w:rPr>
        <w:t>presentata dai relatori</w:t>
      </w:r>
      <w:r>
        <w:rPr>
          <w:rFonts w:ascii="Bookman Old Style" w:eastAsiaTheme="majorEastAsia" w:hAnsi="Bookman Old Style" w:cstheme="majorBidi"/>
          <w:b/>
          <w:bCs/>
        </w:rPr>
        <w:t>,</w:t>
      </w:r>
      <w:r>
        <w:rPr>
          <w:rFonts w:ascii="Bookman Old Style" w:eastAsiaTheme="majorEastAsia" w:hAnsi="Bookman Old Style" w:cstheme="majorBidi"/>
        </w:rPr>
        <w:t xml:space="preserve"> ed </w:t>
      </w:r>
      <w:r w:rsidRPr="00FB740B">
        <w:rPr>
          <w:rFonts w:ascii="Bookman Old Style" w:eastAsiaTheme="majorEastAsia" w:hAnsi="Bookman Old Style" w:cstheme="majorBidi"/>
        </w:rPr>
        <w:t>approvata nelle commissioni in sede referente,</w:t>
      </w:r>
      <w:r>
        <w:rPr>
          <w:rFonts w:ascii="Bookman Old Style" w:eastAsiaTheme="majorEastAsia" w:hAnsi="Bookman Old Style" w:cstheme="majorBidi"/>
        </w:rPr>
        <w:t xml:space="preserve"> d</w:t>
      </w:r>
      <w:r w:rsidRPr="00CC3F71">
        <w:rPr>
          <w:rFonts w:ascii="Bookman Old Style" w:hAnsi="Bookman Old Style" w:cs="Calibri"/>
          <w:kern w:val="0"/>
        </w:rPr>
        <w:t>ispone che l’obbligo di stipula di una polizza assicurativa per chiunque assuma un incarico che comporti la gestione di risorse pubbliche dalla quale discenda la sua sottoposizione alla giurisdizione della Corte dei conti, a copertura dei danni patrimoniali cagionati per colpa grave, introdotto dalla Legge</w:t>
      </w:r>
      <w:r w:rsidR="00030235">
        <w:rPr>
          <w:rFonts w:ascii="Bookman Old Style" w:hAnsi="Bookman Old Style" w:cs="Calibri"/>
          <w:kern w:val="0"/>
        </w:rPr>
        <w:t xml:space="preserve"> n. 1/2026</w:t>
      </w:r>
      <w:r w:rsidRPr="00CC3F71">
        <w:rPr>
          <w:rFonts w:ascii="Bookman Old Style" w:hAnsi="Bookman Old Style" w:cs="Calibri"/>
          <w:kern w:val="0"/>
        </w:rPr>
        <w:t xml:space="preserve"> in materia di responsabilità erariale e giurisdizione della Corte dei conti, si applichi a decorrere dal 1° gennaio 2027.</w:t>
      </w:r>
    </w:p>
    <w:p w14:paraId="00B54458" w14:textId="77777777" w:rsidR="002C7D03" w:rsidRDefault="002C7D03" w:rsidP="00ED46FF">
      <w:pPr>
        <w:spacing w:after="120" w:line="240" w:lineRule="auto"/>
        <w:contextualSpacing/>
        <w:jc w:val="both"/>
        <w:rPr>
          <w:rFonts w:ascii="Bookman Old Style" w:hAnsi="Bookman Old Style" w:cs="Calibri"/>
          <w:kern w:val="0"/>
        </w:rPr>
      </w:pPr>
    </w:p>
    <w:p w14:paraId="6916DE13" w14:textId="77777777" w:rsidR="002C7D03" w:rsidRPr="00CC3F71" w:rsidRDefault="002C7D03" w:rsidP="00ED46FF">
      <w:pPr>
        <w:spacing w:after="120" w:line="240" w:lineRule="auto"/>
        <w:contextualSpacing/>
        <w:jc w:val="both"/>
        <w:rPr>
          <w:rFonts w:ascii="Bookman Old Style" w:hAnsi="Bookman Old Style" w:cs="Calibri"/>
          <w:kern w:val="0"/>
        </w:rPr>
      </w:pPr>
    </w:p>
    <w:p w14:paraId="2301B0F6" w14:textId="77777777" w:rsidR="00502594" w:rsidRPr="00CC3F71" w:rsidRDefault="00502594" w:rsidP="00502594">
      <w:pPr>
        <w:spacing w:after="120" w:line="240" w:lineRule="auto"/>
        <w:jc w:val="both"/>
        <w:rPr>
          <w:rFonts w:ascii="Bookman Old Style" w:hAnsi="Bookman Old Style" w:cs="Calibri"/>
          <w:kern w:val="0"/>
        </w:rPr>
      </w:pPr>
    </w:p>
    <w:p w14:paraId="12EE87D0" w14:textId="77777777" w:rsidR="00502594" w:rsidRPr="001904C8" w:rsidRDefault="00502594" w:rsidP="00502594">
      <w:pPr>
        <w:numPr>
          <w:ilvl w:val="0"/>
          <w:numId w:val="3"/>
        </w:numPr>
        <w:spacing w:after="0" w:line="240" w:lineRule="auto"/>
        <w:contextualSpacing/>
        <w:jc w:val="both"/>
        <w:rPr>
          <w:rFonts w:ascii="Bookman Old Style" w:hAnsi="Bookman Old Style" w:cs="Calibri"/>
          <w:kern w:val="0"/>
          <w:lang w:eastAsia="it-IT"/>
          <w14:ligatures w14:val="none"/>
        </w:rPr>
      </w:pPr>
      <w:r>
        <w:rPr>
          <w:rFonts w:ascii="Bookman Old Style" w:hAnsi="Bookman Old Style" w:cs="Aptos"/>
          <w:b/>
          <w:bCs/>
          <w:color w:val="004F88"/>
          <w:kern w:val="0"/>
        </w:rPr>
        <w:lastRenderedPageBreak/>
        <w:t>Proroga termine adeguamento capitale sociale e</w:t>
      </w:r>
      <w:r w:rsidRPr="001904C8">
        <w:rPr>
          <w:rFonts w:ascii="Bookman Old Style" w:hAnsi="Bookman Old Style" w:cs="Aptos"/>
          <w:b/>
          <w:bCs/>
          <w:color w:val="004F88"/>
          <w:kern w:val="0"/>
        </w:rPr>
        <w:t>ntrate enti locali</w:t>
      </w:r>
      <w:r>
        <w:rPr>
          <w:rFonts w:ascii="Bookman Old Style" w:hAnsi="Bookman Old Style" w:cs="Aptos"/>
          <w:b/>
          <w:bCs/>
          <w:color w:val="004F88"/>
          <w:kern w:val="0"/>
        </w:rPr>
        <w:t xml:space="preserve"> (Art. 4, comma 12)</w:t>
      </w:r>
    </w:p>
    <w:p w14:paraId="63DD041D" w14:textId="38406CA4" w:rsidR="00502594" w:rsidRPr="00CC3F71" w:rsidRDefault="00502594" w:rsidP="00502594">
      <w:pPr>
        <w:spacing w:after="0" w:line="240" w:lineRule="auto"/>
        <w:contextualSpacing/>
        <w:jc w:val="both"/>
        <w:rPr>
          <w:rFonts w:ascii="Bookman Old Style" w:hAnsi="Bookman Old Style" w:cs="Calibri"/>
          <w:kern w:val="0"/>
          <w:lang w:eastAsia="it-IT"/>
          <w14:ligatures w14:val="none"/>
        </w:rPr>
      </w:pPr>
      <w:r w:rsidRPr="00FB740B">
        <w:rPr>
          <w:rFonts w:ascii="Bookman Old Style" w:hAnsi="Bookman Old Style" w:cs="Aptos"/>
          <w:kern w:val="0"/>
        </w:rPr>
        <w:t>L</w:t>
      </w:r>
      <w:r w:rsidRPr="00FB740B">
        <w:rPr>
          <w:rFonts w:ascii="Bookman Old Style" w:eastAsiaTheme="majorEastAsia" w:hAnsi="Bookman Old Style" w:cstheme="majorBidi"/>
        </w:rPr>
        <w:t xml:space="preserve">a norma, </w:t>
      </w:r>
      <w:r w:rsidR="006816DB" w:rsidRPr="00726C54">
        <w:rPr>
          <w:rFonts w:ascii="Bookman Old Style" w:eastAsiaTheme="majorEastAsia" w:hAnsi="Bookman Old Style" w:cstheme="majorBidi"/>
        </w:rPr>
        <w:t>modificata durante l’esame nelle</w:t>
      </w:r>
      <w:r w:rsidRPr="00FB740B">
        <w:rPr>
          <w:rFonts w:ascii="Bookman Old Style" w:eastAsiaTheme="majorEastAsia" w:hAnsi="Bookman Old Style" w:cstheme="majorBidi"/>
        </w:rPr>
        <w:t xml:space="preserve"> commissioni in sede referente,</w:t>
      </w:r>
      <w:r>
        <w:rPr>
          <w:rFonts w:ascii="Bookman Old Style" w:eastAsiaTheme="majorEastAsia" w:hAnsi="Bookman Old Style" w:cstheme="majorBidi"/>
        </w:rPr>
        <w:t xml:space="preserve"> </w:t>
      </w:r>
      <w:r w:rsidRPr="000C27E9">
        <w:rPr>
          <w:rFonts w:ascii="Bookman Old Style" w:eastAsiaTheme="majorEastAsia" w:hAnsi="Bookman Old Style" w:cstheme="majorBidi"/>
          <w:b/>
          <w:bCs/>
        </w:rPr>
        <w:t>p</w:t>
      </w:r>
      <w:r w:rsidRPr="000C27E9">
        <w:rPr>
          <w:rFonts w:ascii="Bookman Old Style" w:hAnsi="Bookman Old Style" w:cs="Calibri"/>
          <w:b/>
          <w:bCs/>
          <w:kern w:val="0"/>
          <w:lang w:eastAsia="it-IT"/>
          <w14:ligatures w14:val="none"/>
        </w:rPr>
        <w:t>roroga al 31 dicembre 2026</w:t>
      </w:r>
      <w:r w:rsidR="006816DB">
        <w:rPr>
          <w:rFonts w:ascii="Bookman Old Style" w:hAnsi="Bookman Old Style" w:cs="Calibri"/>
          <w:kern w:val="0"/>
          <w:lang w:eastAsia="it-IT"/>
          <w14:ligatures w14:val="none"/>
        </w:rPr>
        <w:t xml:space="preserve"> </w:t>
      </w:r>
      <w:r w:rsidRPr="00CC3F71">
        <w:rPr>
          <w:rFonts w:ascii="Bookman Old Style" w:hAnsi="Bookman Old Style" w:cs="Calibri"/>
          <w:kern w:val="0"/>
          <w:lang w:eastAsia="it-IT"/>
          <w14:ligatures w14:val="none"/>
        </w:rPr>
        <w:t>il termine di adeguamento del capitale sociale per l'attività di liquidazione, accertamento e riscossione dei tributi e di altre entrate degli enti locali</w:t>
      </w:r>
      <w:r>
        <w:rPr>
          <w:rFonts w:ascii="Bookman Old Style" w:hAnsi="Bookman Old Style" w:cs="Calibri"/>
          <w:kern w:val="0"/>
          <w:lang w:eastAsia="it-IT"/>
          <w14:ligatures w14:val="none"/>
        </w:rPr>
        <w:t>.</w:t>
      </w:r>
    </w:p>
    <w:p w14:paraId="24D63D00" w14:textId="77777777" w:rsidR="00502594" w:rsidRDefault="00502594" w:rsidP="006223AA">
      <w:pPr>
        <w:spacing w:after="0" w:line="240" w:lineRule="auto"/>
        <w:jc w:val="both"/>
        <w:rPr>
          <w:rFonts w:ascii="Bookman Old Style" w:eastAsia="Times New Roman" w:hAnsi="Bookman Old Style" w:cs="Aptos"/>
          <w:kern w:val="0"/>
        </w:rPr>
      </w:pPr>
    </w:p>
    <w:p w14:paraId="28F58D22" w14:textId="3975142D" w:rsidR="00726C54" w:rsidRPr="001904C8" w:rsidRDefault="00ED46FF" w:rsidP="00726C54">
      <w:pPr>
        <w:numPr>
          <w:ilvl w:val="0"/>
          <w:numId w:val="3"/>
        </w:numPr>
        <w:spacing w:after="0" w:line="240" w:lineRule="auto"/>
        <w:contextualSpacing/>
        <w:jc w:val="both"/>
        <w:rPr>
          <w:rFonts w:ascii="Bookman Old Style" w:hAnsi="Bookman Old Style" w:cs="Calibri"/>
          <w:kern w:val="0"/>
          <w:lang w:eastAsia="it-IT"/>
          <w14:ligatures w14:val="none"/>
        </w:rPr>
      </w:pPr>
      <w:r>
        <w:rPr>
          <w:rFonts w:ascii="Bookman Old Style" w:hAnsi="Bookman Old Style" w:cs="Aptos"/>
          <w:b/>
          <w:bCs/>
          <w:color w:val="004F88"/>
          <w:kern w:val="0"/>
        </w:rPr>
        <w:t xml:space="preserve">Proroga </w:t>
      </w:r>
      <w:r w:rsidR="00726C54" w:rsidRPr="00726C54">
        <w:rPr>
          <w:rFonts w:ascii="Bookman Old Style" w:hAnsi="Bookman Old Style" w:cs="Aptos"/>
          <w:b/>
          <w:bCs/>
          <w:color w:val="004F88"/>
          <w:kern w:val="0"/>
        </w:rPr>
        <w:t xml:space="preserve">termine decreto </w:t>
      </w:r>
      <w:r>
        <w:rPr>
          <w:rFonts w:ascii="Bookman Old Style" w:hAnsi="Bookman Old Style" w:cs="Aptos"/>
          <w:b/>
          <w:bCs/>
          <w:color w:val="004F88"/>
          <w:kern w:val="0"/>
        </w:rPr>
        <w:t>MEF</w:t>
      </w:r>
      <w:r w:rsidR="00726C54" w:rsidRPr="00726C54">
        <w:rPr>
          <w:rFonts w:ascii="Bookman Old Style" w:hAnsi="Bookman Old Style" w:cs="Aptos"/>
          <w:b/>
          <w:bCs/>
          <w:color w:val="004F88"/>
          <w:kern w:val="0"/>
        </w:rPr>
        <w:t xml:space="preserve"> fondi enti locali, infrastrutture, sport cultura, patrimonio storico artistico</w:t>
      </w:r>
      <w:r w:rsidR="00726C54">
        <w:rPr>
          <w:rFonts w:eastAsia="Times New Roman"/>
        </w:rPr>
        <w:t xml:space="preserve"> </w:t>
      </w:r>
      <w:r w:rsidR="00726C54">
        <w:rPr>
          <w:rFonts w:ascii="Bookman Old Style" w:hAnsi="Bookman Old Style" w:cs="Aptos"/>
          <w:b/>
          <w:bCs/>
          <w:color w:val="004F88"/>
          <w:kern w:val="0"/>
        </w:rPr>
        <w:t>(Art. 4, comma 12 quinquies)</w:t>
      </w:r>
    </w:p>
    <w:p w14:paraId="7B454F74" w14:textId="7AFC4587" w:rsidR="00726C54" w:rsidRPr="00726C54" w:rsidRDefault="00726C54" w:rsidP="00726C54">
      <w:pPr>
        <w:spacing w:after="0" w:line="240" w:lineRule="auto"/>
        <w:jc w:val="both"/>
        <w:rPr>
          <w:rFonts w:ascii="Bookman Old Style" w:hAnsi="Bookman Old Style" w:cs="Calibri"/>
          <w:kern w:val="0"/>
          <w:lang w:eastAsia="it-IT"/>
          <w14:ligatures w14:val="none"/>
        </w:rPr>
      </w:pPr>
      <w:r w:rsidRPr="00726C54">
        <w:rPr>
          <w:rFonts w:ascii="Bookman Old Style" w:hAnsi="Bookman Old Style" w:cs="Calibri"/>
          <w:kern w:val="0"/>
          <w:lang w:eastAsia="it-IT"/>
          <w14:ligatures w14:val="none"/>
        </w:rPr>
        <w:t>La norma</w:t>
      </w:r>
      <w:r w:rsidR="004227B2">
        <w:rPr>
          <w:rFonts w:ascii="Bookman Old Style" w:hAnsi="Bookman Old Style" w:cs="Calibri"/>
          <w:kern w:val="0"/>
          <w:lang w:eastAsia="it-IT"/>
          <w14:ligatures w14:val="none"/>
        </w:rPr>
        <w:t>,</w:t>
      </w:r>
      <w:r w:rsidRPr="00726C54">
        <w:rPr>
          <w:rFonts w:ascii="Bookman Old Style" w:hAnsi="Bookman Old Style" w:cs="Calibri"/>
          <w:kern w:val="0"/>
          <w:lang w:eastAsia="it-IT"/>
          <w14:ligatures w14:val="none"/>
        </w:rPr>
        <w:t xml:space="preserve"> approvata nelle commissioni in sede referente, proroga </w:t>
      </w:r>
      <w:r w:rsidRPr="008B2B11">
        <w:rPr>
          <w:rFonts w:ascii="Bookman Old Style" w:hAnsi="Bookman Old Style" w:cs="Calibri"/>
          <w:b/>
          <w:bCs/>
          <w:kern w:val="0"/>
          <w:lang w:eastAsia="it-IT"/>
          <w14:ligatures w14:val="none"/>
        </w:rPr>
        <w:t xml:space="preserve">da sessanta a settantacinque giorni </w:t>
      </w:r>
      <w:r w:rsidRPr="00726C54">
        <w:rPr>
          <w:rFonts w:ascii="Bookman Old Style" w:hAnsi="Bookman Old Style" w:cs="Calibri"/>
          <w:kern w:val="0"/>
          <w:lang w:eastAsia="it-IT"/>
          <w14:ligatures w14:val="none"/>
        </w:rPr>
        <w:t>dall'entrata in vigore della Legge di Bilancio</w:t>
      </w:r>
      <w:r w:rsidR="000C17CD">
        <w:rPr>
          <w:rFonts w:ascii="Bookman Old Style" w:hAnsi="Bookman Old Style" w:cs="Calibri"/>
          <w:kern w:val="0"/>
          <w:lang w:eastAsia="it-IT"/>
          <w14:ligatures w14:val="none"/>
        </w:rPr>
        <w:t xml:space="preserve"> per il 2026 (</w:t>
      </w:r>
      <w:r w:rsidR="008B2B11">
        <w:rPr>
          <w:rFonts w:ascii="Bookman Old Style" w:hAnsi="Bookman Old Style" w:cs="Calibri"/>
          <w:kern w:val="0"/>
          <w:lang w:eastAsia="it-IT"/>
          <w14:ligatures w14:val="none"/>
        </w:rPr>
        <w:t>L</w:t>
      </w:r>
      <w:r w:rsidR="000C17CD">
        <w:rPr>
          <w:rFonts w:ascii="Bookman Old Style" w:hAnsi="Bookman Old Style" w:cs="Calibri"/>
          <w:kern w:val="0"/>
          <w:lang w:eastAsia="it-IT"/>
          <w14:ligatures w14:val="none"/>
        </w:rPr>
        <w:t>egge 30 dicembre 2025, n. 199)</w:t>
      </w:r>
      <w:r w:rsidRPr="00726C54">
        <w:rPr>
          <w:rFonts w:ascii="Bookman Old Style" w:hAnsi="Bookman Old Style" w:cs="Calibri"/>
          <w:kern w:val="0"/>
          <w:lang w:eastAsia="it-IT"/>
          <w14:ligatures w14:val="none"/>
        </w:rPr>
        <w:t xml:space="preserve"> </w:t>
      </w:r>
      <w:r w:rsidRPr="008B2B11">
        <w:rPr>
          <w:rFonts w:ascii="Bookman Old Style" w:hAnsi="Bookman Old Style" w:cs="Calibri"/>
          <w:b/>
          <w:bCs/>
          <w:kern w:val="0"/>
          <w:lang w:eastAsia="it-IT"/>
          <w14:ligatures w14:val="none"/>
        </w:rPr>
        <w:t>il termine di adozione del decreto del MEF</w:t>
      </w:r>
      <w:r w:rsidRPr="00726C54">
        <w:rPr>
          <w:rFonts w:ascii="Bookman Old Style" w:hAnsi="Bookman Old Style" w:cs="Calibri"/>
          <w:kern w:val="0"/>
          <w:lang w:eastAsia="it-IT"/>
          <w14:ligatures w14:val="none"/>
        </w:rPr>
        <w:t xml:space="preserve"> </w:t>
      </w:r>
      <w:r w:rsidR="000C17CD">
        <w:rPr>
          <w:rFonts w:ascii="Bookman Old Style" w:hAnsi="Bookman Old Style" w:cs="Calibri"/>
          <w:kern w:val="0"/>
          <w:lang w:eastAsia="it-IT"/>
          <w14:ligatures w14:val="none"/>
        </w:rPr>
        <w:t>(di cui all’art. 1, comma 773</w:t>
      </w:r>
      <w:r w:rsidR="004227B2">
        <w:rPr>
          <w:rFonts w:ascii="Bookman Old Style" w:hAnsi="Bookman Old Style" w:cs="Calibri"/>
          <w:kern w:val="0"/>
          <w:lang w:eastAsia="it-IT"/>
          <w14:ligatures w14:val="none"/>
        </w:rPr>
        <w:t xml:space="preserve"> della citata legge) </w:t>
      </w:r>
      <w:r w:rsidRPr="008B2B11">
        <w:rPr>
          <w:rFonts w:ascii="Bookman Old Style" w:hAnsi="Bookman Old Style" w:cs="Calibri"/>
          <w:b/>
          <w:bCs/>
          <w:kern w:val="0"/>
          <w:lang w:eastAsia="it-IT"/>
          <w14:ligatures w14:val="none"/>
        </w:rPr>
        <w:t>con cui si provvede all'assegnazione delle risorse del Fondo finalizzato all'attuazione di misure in favore degli enti locali</w:t>
      </w:r>
      <w:r w:rsidRPr="00726C54">
        <w:rPr>
          <w:rFonts w:ascii="Bookman Old Style" w:hAnsi="Bookman Old Style" w:cs="Calibri"/>
          <w:kern w:val="0"/>
          <w:lang w:eastAsia="it-IT"/>
          <w14:ligatures w14:val="none"/>
        </w:rPr>
        <w:t>, alla realizzazione di interventi in materia economica, sociale e socio-sanitaria assistenziale, di infrastrutture, di sport e di cultura anche da parte di associazioni, fondazioni ed enti operanti nel territorio, di recupero, conservazione e mantenimento del patrimonio storico, artistico e architettonico, nonché all'attuazione di investimenti in materia di infrastrutture stradali, sportive, scolastiche, ospedaliere, di mobilità e di riqualificazione ambientale.</w:t>
      </w:r>
    </w:p>
    <w:p w14:paraId="722DBCBB" w14:textId="77777777" w:rsidR="00372449" w:rsidRPr="00CC3F71" w:rsidRDefault="00372449" w:rsidP="00372449">
      <w:pPr>
        <w:spacing w:after="0" w:line="240" w:lineRule="auto"/>
        <w:jc w:val="both"/>
        <w:rPr>
          <w:rFonts w:ascii="Bookman Old Style" w:hAnsi="Bookman Old Style" w:cs="Calibri"/>
          <w:kern w:val="0"/>
          <w:lang w:eastAsia="it-IT"/>
          <w14:ligatures w14:val="none"/>
        </w:rPr>
      </w:pPr>
    </w:p>
    <w:p w14:paraId="5FAE337D" w14:textId="5C9AAEEC" w:rsidR="00372449" w:rsidRPr="003D2530" w:rsidRDefault="00372449" w:rsidP="00372449">
      <w:pPr>
        <w:pStyle w:val="Paragrafoelenco"/>
        <w:numPr>
          <w:ilvl w:val="0"/>
          <w:numId w:val="1"/>
        </w:numPr>
        <w:spacing w:after="0" w:line="240" w:lineRule="auto"/>
        <w:jc w:val="both"/>
        <w:rPr>
          <w:rFonts w:ascii="Bookman Old Style" w:eastAsia="Times New Roman" w:hAnsi="Bookman Old Style" w:cs="Calibri"/>
          <w:b/>
          <w:bCs/>
          <w:color w:val="004F88"/>
          <w:kern w:val="0"/>
        </w:rPr>
      </w:pPr>
      <w:r>
        <w:rPr>
          <w:rFonts w:ascii="Bookman Old Style" w:eastAsia="Times New Roman" w:hAnsi="Bookman Old Style" w:cs="Calibri"/>
          <w:b/>
          <w:bCs/>
          <w:color w:val="004F88"/>
          <w:kern w:val="0"/>
        </w:rPr>
        <w:t>Proroga in materia di i</w:t>
      </w:r>
      <w:r w:rsidRPr="003D2530">
        <w:rPr>
          <w:rFonts w:ascii="Bookman Old Style" w:eastAsia="Times New Roman" w:hAnsi="Bookman Old Style" w:cs="Calibri"/>
          <w:b/>
          <w:bCs/>
          <w:color w:val="004F88"/>
          <w:kern w:val="0"/>
        </w:rPr>
        <w:t xml:space="preserve">nterventi esclusi </w:t>
      </w:r>
      <w:r>
        <w:rPr>
          <w:rFonts w:ascii="Bookman Old Style" w:eastAsia="Times New Roman" w:hAnsi="Bookman Old Style" w:cs="Calibri"/>
          <w:b/>
          <w:bCs/>
          <w:color w:val="004F88"/>
          <w:kern w:val="0"/>
        </w:rPr>
        <w:t>dall’</w:t>
      </w:r>
      <w:r w:rsidRPr="003D2530">
        <w:rPr>
          <w:rFonts w:ascii="Bookman Old Style" w:eastAsia="Times New Roman" w:hAnsi="Bookman Old Style" w:cs="Calibri"/>
          <w:b/>
          <w:bCs/>
          <w:color w:val="004F88"/>
          <w:kern w:val="0"/>
        </w:rPr>
        <w:t xml:space="preserve">autorizzazione paesaggistica (Art. 8, comma 5 </w:t>
      </w:r>
      <w:r w:rsidR="00297FAB">
        <w:rPr>
          <w:rFonts w:ascii="Bookman Old Style" w:eastAsia="Times New Roman" w:hAnsi="Bookman Old Style" w:cs="Calibri"/>
          <w:b/>
          <w:bCs/>
          <w:color w:val="004F88"/>
          <w:kern w:val="0"/>
        </w:rPr>
        <w:t>quinquies</w:t>
      </w:r>
      <w:r w:rsidRPr="003D2530">
        <w:rPr>
          <w:rFonts w:ascii="Bookman Old Style" w:eastAsia="Times New Roman" w:hAnsi="Bookman Old Style" w:cs="Calibri"/>
          <w:b/>
          <w:bCs/>
          <w:color w:val="004F88"/>
          <w:kern w:val="0"/>
        </w:rPr>
        <w:t>)</w:t>
      </w:r>
    </w:p>
    <w:p w14:paraId="38FA2F6E" w14:textId="5EB574ED" w:rsidR="00372449" w:rsidRPr="00CC3F71" w:rsidRDefault="00372449" w:rsidP="00372449">
      <w:pPr>
        <w:spacing w:after="0" w:line="240" w:lineRule="auto"/>
        <w:contextualSpacing/>
        <w:jc w:val="both"/>
        <w:rPr>
          <w:rFonts w:ascii="Bookman Old Style" w:hAnsi="Bookman Old Style" w:cs="Aptos"/>
          <w:kern w:val="0"/>
        </w:rPr>
      </w:pPr>
      <w:r w:rsidRPr="003D2530">
        <w:rPr>
          <w:rFonts w:ascii="Bookman Old Style" w:eastAsia="Times New Roman" w:hAnsi="Bookman Old Style" w:cs="Calibri"/>
          <w:kern w:val="0"/>
        </w:rPr>
        <w:t xml:space="preserve">La norma, </w:t>
      </w:r>
      <w:r w:rsidRPr="003D2530">
        <w:rPr>
          <w:rFonts w:ascii="Bookman Old Style" w:eastAsiaTheme="majorEastAsia" w:hAnsi="Bookman Old Style" w:cstheme="majorBidi"/>
        </w:rPr>
        <w:t xml:space="preserve">approvata </w:t>
      </w:r>
      <w:r w:rsidRPr="00FB740B">
        <w:rPr>
          <w:rFonts w:ascii="Bookman Old Style" w:eastAsiaTheme="majorEastAsia" w:hAnsi="Bookman Old Style" w:cstheme="majorBidi"/>
        </w:rPr>
        <w:t>nelle commissioni in sede referente</w:t>
      </w:r>
      <w:r>
        <w:rPr>
          <w:rFonts w:ascii="Bookman Old Style" w:eastAsiaTheme="majorEastAsia" w:hAnsi="Bookman Old Style" w:cstheme="majorBidi"/>
        </w:rPr>
        <w:t>,</w:t>
      </w:r>
      <w:r w:rsidRPr="00CC3F71">
        <w:rPr>
          <w:rFonts w:ascii="Bookman Old Style" w:hAnsi="Bookman Old Style" w:cs="Aptos"/>
          <w:kern w:val="0"/>
        </w:rPr>
        <w:t xml:space="preserve"> </w:t>
      </w:r>
      <w:r w:rsidRPr="00F05AFF">
        <w:rPr>
          <w:rFonts w:ascii="Bookman Old Style" w:hAnsi="Bookman Old Style" w:cs="Aptos"/>
          <w:b/>
          <w:bCs/>
          <w:kern w:val="0"/>
        </w:rPr>
        <w:t>proroga a 54 mesi, invece degli originari 48</w:t>
      </w:r>
      <w:r w:rsidRPr="00CC3F71">
        <w:rPr>
          <w:rFonts w:ascii="Bookman Old Style" w:hAnsi="Bookman Old Style" w:cs="Aptos"/>
          <w:kern w:val="0"/>
        </w:rPr>
        <w:t>, il termine per l'adozione di disposizioni modificative e integrative del regolamento recante individuazione degli interventi esclusi dall'autorizzazione paesaggistica o sottoposti a procedura autorizzatoria semplificata</w:t>
      </w:r>
      <w:r w:rsidR="00F05AFF">
        <w:rPr>
          <w:rFonts w:ascii="Bookman Old Style" w:hAnsi="Bookman Old Style" w:cs="Aptos"/>
          <w:kern w:val="0"/>
        </w:rPr>
        <w:t xml:space="preserve"> (</w:t>
      </w:r>
      <w:r w:rsidR="008E1562">
        <w:rPr>
          <w:rFonts w:ascii="Bookman Old Style" w:hAnsi="Bookman Old Style" w:cs="Aptos"/>
          <w:kern w:val="0"/>
        </w:rPr>
        <w:t xml:space="preserve">si tratta di </w:t>
      </w:r>
      <w:r w:rsidR="007135C0">
        <w:rPr>
          <w:rFonts w:ascii="Bookman Old Style" w:hAnsi="Bookman Old Style" w:cs="Aptos"/>
          <w:kern w:val="0"/>
        </w:rPr>
        <w:t>modific</w:t>
      </w:r>
      <w:r w:rsidR="008E1562">
        <w:rPr>
          <w:rFonts w:ascii="Bookman Old Style" w:hAnsi="Bookman Old Style" w:cs="Aptos"/>
          <w:kern w:val="0"/>
        </w:rPr>
        <w:t>he</w:t>
      </w:r>
      <w:r w:rsidR="007135C0">
        <w:rPr>
          <w:rFonts w:ascii="Bookman Old Style" w:hAnsi="Bookman Old Style" w:cs="Aptos"/>
          <w:kern w:val="0"/>
        </w:rPr>
        <w:t xml:space="preserve"> al D.P.R 31/2017)</w:t>
      </w:r>
      <w:r w:rsidRPr="00CC3F71">
        <w:rPr>
          <w:rFonts w:ascii="Bookman Old Style" w:hAnsi="Bookman Old Style" w:cs="Aptos"/>
          <w:kern w:val="0"/>
        </w:rPr>
        <w:t>.</w:t>
      </w:r>
    </w:p>
    <w:p w14:paraId="4BD813AC" w14:textId="77777777" w:rsidR="00372449" w:rsidRPr="00CC3F71" w:rsidRDefault="00372449" w:rsidP="00B213D7">
      <w:pPr>
        <w:spacing w:after="120" w:line="240" w:lineRule="auto"/>
        <w:contextualSpacing/>
        <w:jc w:val="both"/>
        <w:rPr>
          <w:rFonts w:ascii="Bookman Old Style" w:eastAsia="Times New Roman" w:hAnsi="Bookman Old Style" w:cs="Calibri"/>
          <w:kern w:val="0"/>
        </w:rPr>
      </w:pPr>
    </w:p>
    <w:p w14:paraId="71448FD2" w14:textId="77777777" w:rsidR="00E94184" w:rsidRPr="00CC3F71" w:rsidRDefault="00E94184" w:rsidP="00E94184">
      <w:pPr>
        <w:spacing w:after="120" w:line="240" w:lineRule="auto"/>
        <w:ind w:left="720"/>
        <w:contextualSpacing/>
        <w:jc w:val="both"/>
        <w:rPr>
          <w:rFonts w:ascii="Bookman Old Style" w:hAnsi="Bookman Old Style" w:cs="Aptos"/>
          <w:kern w:val="0"/>
        </w:rPr>
      </w:pPr>
    </w:p>
    <w:p w14:paraId="6E4E5144" w14:textId="77777777" w:rsidR="00E94184" w:rsidRPr="005A2339" w:rsidRDefault="00E94184" w:rsidP="00E94184">
      <w:pPr>
        <w:numPr>
          <w:ilvl w:val="0"/>
          <w:numId w:val="2"/>
        </w:numPr>
        <w:spacing w:after="120" w:line="240" w:lineRule="auto"/>
        <w:contextualSpacing/>
        <w:jc w:val="both"/>
        <w:rPr>
          <w:rFonts w:ascii="Bookman Old Style" w:hAnsi="Bookman Old Style" w:cs="Aptos"/>
          <w:kern w:val="0"/>
        </w:rPr>
      </w:pPr>
      <w:r>
        <w:rPr>
          <w:rFonts w:ascii="Bookman Old Style" w:eastAsia="Times New Roman" w:hAnsi="Bookman Old Style" w:cs="Calibri"/>
          <w:b/>
          <w:bCs/>
          <w:color w:val="004F88"/>
          <w:kern w:val="0"/>
        </w:rPr>
        <w:t xml:space="preserve">Proroga inerente </w:t>
      </w:r>
      <w:proofErr w:type="gramStart"/>
      <w:r>
        <w:rPr>
          <w:rFonts w:ascii="Bookman Old Style" w:eastAsia="Times New Roman" w:hAnsi="Bookman Old Style" w:cs="Calibri"/>
          <w:b/>
          <w:bCs/>
          <w:color w:val="004F88"/>
          <w:kern w:val="0"/>
        </w:rPr>
        <w:t>gli</w:t>
      </w:r>
      <w:proofErr w:type="gramEnd"/>
      <w:r>
        <w:rPr>
          <w:rFonts w:ascii="Bookman Old Style" w:eastAsia="Times New Roman" w:hAnsi="Bookman Old Style" w:cs="Calibri"/>
          <w:b/>
          <w:bCs/>
          <w:color w:val="004F88"/>
          <w:kern w:val="0"/>
        </w:rPr>
        <w:t xml:space="preserve"> </w:t>
      </w:r>
      <w:r w:rsidRPr="003D2530">
        <w:rPr>
          <w:rFonts w:ascii="Bookman Old Style" w:eastAsia="Times New Roman" w:hAnsi="Bookman Old Style" w:cs="Calibri"/>
          <w:b/>
          <w:bCs/>
          <w:color w:val="004F88"/>
          <w:kern w:val="0"/>
        </w:rPr>
        <w:t xml:space="preserve">interventi </w:t>
      </w:r>
      <w:r>
        <w:rPr>
          <w:rFonts w:ascii="Bookman Old Style" w:eastAsia="Times New Roman" w:hAnsi="Bookman Old Style" w:cs="Calibri"/>
          <w:b/>
          <w:bCs/>
          <w:color w:val="004F88"/>
          <w:kern w:val="0"/>
        </w:rPr>
        <w:t xml:space="preserve">di </w:t>
      </w:r>
      <w:r w:rsidRPr="003D2530">
        <w:rPr>
          <w:rFonts w:ascii="Bookman Old Style" w:eastAsia="Times New Roman" w:hAnsi="Bookman Old Style" w:cs="Calibri"/>
          <w:b/>
          <w:bCs/>
          <w:color w:val="004F88"/>
          <w:kern w:val="0"/>
        </w:rPr>
        <w:t>edilizia privata</w:t>
      </w:r>
      <w:r>
        <w:rPr>
          <w:rFonts w:ascii="Bookman Old Style" w:eastAsia="Times New Roman" w:hAnsi="Bookman Old Style" w:cs="Calibri"/>
          <w:b/>
          <w:bCs/>
          <w:color w:val="004F88"/>
          <w:kern w:val="0"/>
        </w:rPr>
        <w:t xml:space="preserve"> (Art. 9, comma 2 bis)</w:t>
      </w:r>
    </w:p>
    <w:p w14:paraId="4D907FC9" w14:textId="77777777" w:rsidR="00E94184" w:rsidRPr="00CC3F71" w:rsidRDefault="00E94184" w:rsidP="00E94184">
      <w:pPr>
        <w:spacing w:after="120" w:line="240" w:lineRule="auto"/>
        <w:contextualSpacing/>
        <w:jc w:val="both"/>
        <w:rPr>
          <w:rFonts w:ascii="Bookman Old Style" w:hAnsi="Bookman Old Style" w:cs="Aptos"/>
          <w:kern w:val="0"/>
        </w:rPr>
      </w:pPr>
      <w:r w:rsidRPr="003D2530">
        <w:rPr>
          <w:rFonts w:ascii="Bookman Old Style" w:eastAsia="Times New Roman" w:hAnsi="Bookman Old Style" w:cs="Calibri"/>
          <w:kern w:val="0"/>
        </w:rPr>
        <w:t xml:space="preserve">La norma, </w:t>
      </w:r>
      <w:r w:rsidRPr="003D2530">
        <w:rPr>
          <w:rFonts w:ascii="Bookman Old Style" w:eastAsiaTheme="majorEastAsia" w:hAnsi="Bookman Old Style" w:cstheme="majorBidi"/>
        </w:rPr>
        <w:t xml:space="preserve">approvata </w:t>
      </w:r>
      <w:r w:rsidRPr="00FB740B">
        <w:rPr>
          <w:rFonts w:ascii="Bookman Old Style" w:eastAsiaTheme="majorEastAsia" w:hAnsi="Bookman Old Style" w:cstheme="majorBidi"/>
        </w:rPr>
        <w:t>nelle commissioni in sede referente</w:t>
      </w:r>
      <w:r>
        <w:rPr>
          <w:rFonts w:ascii="Bookman Old Style" w:eastAsiaTheme="majorEastAsia" w:hAnsi="Bookman Old Style" w:cstheme="majorBidi"/>
        </w:rPr>
        <w:t>,</w:t>
      </w:r>
      <w:r w:rsidRPr="00CC3F71">
        <w:rPr>
          <w:rFonts w:ascii="Bookman Old Style" w:hAnsi="Bookman Old Style" w:cs="Aptos"/>
          <w:kern w:val="0"/>
        </w:rPr>
        <w:t xml:space="preserve"> </w:t>
      </w:r>
      <w:r>
        <w:rPr>
          <w:rFonts w:ascii="Bookman Old Style" w:hAnsi="Bookman Old Style" w:cs="Aptos"/>
          <w:kern w:val="0"/>
        </w:rPr>
        <w:t>e</w:t>
      </w:r>
      <w:r w:rsidRPr="00CC3F71">
        <w:rPr>
          <w:rFonts w:ascii="Bookman Old Style" w:hAnsi="Bookman Old Style" w:cs="Aptos"/>
          <w:kern w:val="0"/>
        </w:rPr>
        <w:t xml:space="preserve">stende di ulteriori 12 mesi le proroghe previste dal DL 21/2022 per l’avvio e l’ultimazione degli interventi di edilizia privata, e </w:t>
      </w:r>
      <w:r w:rsidRPr="008E1562">
        <w:rPr>
          <w:rFonts w:ascii="Bookman Old Style" w:hAnsi="Bookman Old Style" w:cs="Aptos"/>
          <w:kern w:val="0"/>
        </w:rPr>
        <w:t>differisce</w:t>
      </w:r>
      <w:r w:rsidRPr="008E1562">
        <w:rPr>
          <w:rFonts w:ascii="Bookman Old Style" w:hAnsi="Bookman Old Style" w:cs="Aptos"/>
          <w:b/>
          <w:bCs/>
          <w:kern w:val="0"/>
        </w:rPr>
        <w:t xml:space="preserve"> al 31 dicembre 2025</w:t>
      </w:r>
      <w:r w:rsidRPr="00CC3F71">
        <w:rPr>
          <w:rFonts w:ascii="Bookman Old Style" w:hAnsi="Bookman Old Style" w:cs="Aptos"/>
          <w:kern w:val="0"/>
        </w:rPr>
        <w:t xml:space="preserve"> il termine entro cui devono essersi formati i titoli edilizi e gli atti urbanistici ammessi al beneficio.</w:t>
      </w:r>
    </w:p>
    <w:p w14:paraId="76627DDA" w14:textId="77777777" w:rsidR="00CC3F71" w:rsidRDefault="00CC3F71" w:rsidP="00CC3F71">
      <w:pPr>
        <w:spacing w:after="120" w:line="240" w:lineRule="auto"/>
        <w:jc w:val="both"/>
        <w:rPr>
          <w:rFonts w:ascii="Bookman Old Style" w:hAnsi="Bookman Old Style" w:cs="Aptos"/>
          <w:kern w:val="0"/>
        </w:rPr>
      </w:pPr>
    </w:p>
    <w:p w14:paraId="2C0A2992" w14:textId="1F3EBC7F" w:rsidR="00C85FBD" w:rsidRPr="00C85FBD" w:rsidRDefault="00C85FBD" w:rsidP="00D545F2">
      <w:pPr>
        <w:pStyle w:val="Paragrafoelenco"/>
        <w:numPr>
          <w:ilvl w:val="0"/>
          <w:numId w:val="2"/>
        </w:numPr>
        <w:spacing w:after="0" w:line="240" w:lineRule="auto"/>
        <w:jc w:val="both"/>
        <w:rPr>
          <w:rFonts w:ascii="Bookman Old Style" w:eastAsia="Times New Roman" w:hAnsi="Bookman Old Style" w:cs="Aptos"/>
          <w:kern w:val="0"/>
        </w:rPr>
      </w:pPr>
      <w:r>
        <w:rPr>
          <w:rFonts w:ascii="Bookman Old Style" w:eastAsia="Times New Roman" w:hAnsi="Bookman Old Style" w:cs="Calibri"/>
          <w:b/>
          <w:bCs/>
          <w:color w:val="004F88"/>
          <w:kern w:val="0"/>
        </w:rPr>
        <w:t>P</w:t>
      </w:r>
      <w:r w:rsidRPr="00C85FBD">
        <w:rPr>
          <w:rFonts w:ascii="Bookman Old Style" w:eastAsia="Times New Roman" w:hAnsi="Bookman Old Style" w:cs="Calibri"/>
          <w:b/>
          <w:bCs/>
          <w:color w:val="004F88"/>
          <w:kern w:val="0"/>
        </w:rPr>
        <w:t>roroga emissione cartacea formulario identificazione rifiuti</w:t>
      </w:r>
      <w:r>
        <w:rPr>
          <w:rFonts w:ascii="Bookman Old Style" w:eastAsia="Times New Roman" w:hAnsi="Bookman Old Style" w:cs="Calibri"/>
          <w:b/>
          <w:bCs/>
          <w:color w:val="004F88"/>
          <w:kern w:val="0"/>
        </w:rPr>
        <w:t xml:space="preserve"> (Art. 13</w:t>
      </w:r>
      <w:r w:rsidR="00484965">
        <w:rPr>
          <w:rFonts w:ascii="Bookman Old Style" w:eastAsia="Times New Roman" w:hAnsi="Bookman Old Style" w:cs="Calibri"/>
          <w:b/>
          <w:bCs/>
          <w:color w:val="004F88"/>
          <w:kern w:val="0"/>
        </w:rPr>
        <w:t xml:space="preserve">, comma 5 </w:t>
      </w:r>
      <w:r w:rsidR="00BC1EE1">
        <w:rPr>
          <w:rFonts w:ascii="Bookman Old Style" w:eastAsia="Times New Roman" w:hAnsi="Bookman Old Style" w:cs="Calibri"/>
          <w:b/>
          <w:bCs/>
          <w:color w:val="004F88"/>
          <w:kern w:val="0"/>
        </w:rPr>
        <w:t>bis</w:t>
      </w:r>
      <w:r w:rsidR="00484965">
        <w:rPr>
          <w:rFonts w:ascii="Bookman Old Style" w:eastAsia="Times New Roman" w:hAnsi="Bookman Old Style" w:cs="Calibri"/>
          <w:b/>
          <w:bCs/>
          <w:color w:val="004F88"/>
          <w:kern w:val="0"/>
        </w:rPr>
        <w:t>)</w:t>
      </w:r>
    </w:p>
    <w:p w14:paraId="470E476F" w14:textId="3193F17E" w:rsidR="00CC3F71" w:rsidRDefault="00484965" w:rsidP="00D545F2">
      <w:pPr>
        <w:spacing w:after="0" w:line="240" w:lineRule="auto"/>
        <w:jc w:val="both"/>
        <w:rPr>
          <w:rFonts w:ascii="Bookman Old Style" w:eastAsia="Times New Roman" w:hAnsi="Bookman Old Style" w:cs="Aptos"/>
          <w:kern w:val="0"/>
        </w:rPr>
      </w:pPr>
      <w:r w:rsidRPr="003D2530">
        <w:rPr>
          <w:rFonts w:ascii="Bookman Old Style" w:eastAsia="Times New Roman" w:hAnsi="Bookman Old Style" w:cs="Calibri"/>
          <w:kern w:val="0"/>
        </w:rPr>
        <w:t xml:space="preserve">La norma, </w:t>
      </w:r>
      <w:r w:rsidRPr="003D2530">
        <w:rPr>
          <w:rFonts w:ascii="Bookman Old Style" w:eastAsiaTheme="majorEastAsia" w:hAnsi="Bookman Old Style" w:cstheme="majorBidi"/>
        </w:rPr>
        <w:t xml:space="preserve">approvata </w:t>
      </w:r>
      <w:r w:rsidRPr="00FB740B">
        <w:rPr>
          <w:rFonts w:ascii="Bookman Old Style" w:eastAsiaTheme="majorEastAsia" w:hAnsi="Bookman Old Style" w:cstheme="majorBidi"/>
        </w:rPr>
        <w:t>nelle commissioni in sede referente</w:t>
      </w:r>
      <w:r>
        <w:rPr>
          <w:rFonts w:ascii="Bookman Old Style" w:eastAsiaTheme="majorEastAsia" w:hAnsi="Bookman Old Style" w:cstheme="majorBidi"/>
        </w:rPr>
        <w:t>,</w:t>
      </w:r>
      <w:r w:rsidRPr="00CC3F71">
        <w:rPr>
          <w:rFonts w:ascii="Bookman Old Style" w:hAnsi="Bookman Old Style" w:cs="Aptos"/>
          <w:kern w:val="0"/>
        </w:rPr>
        <w:t xml:space="preserve"> </w:t>
      </w:r>
      <w:r>
        <w:rPr>
          <w:rFonts w:ascii="Bookman Old Style" w:hAnsi="Bookman Old Style" w:cs="Aptos"/>
          <w:kern w:val="0"/>
        </w:rPr>
        <w:t>s</w:t>
      </w:r>
      <w:r w:rsidR="00CC3F71" w:rsidRPr="00C85FBD">
        <w:rPr>
          <w:rFonts w:ascii="Bookman Old Style" w:eastAsia="Times New Roman" w:hAnsi="Bookman Old Style" w:cs="Aptos"/>
          <w:kern w:val="0"/>
        </w:rPr>
        <w:t xml:space="preserve">tabilisce che, a decorrere dal trentesimo mese del regolamento recante la disciplina del sistema di tracciabilità dei rifiuti, </w:t>
      </w:r>
      <w:r w:rsidR="00CC3F71" w:rsidRPr="00E64E1F">
        <w:rPr>
          <w:rFonts w:ascii="Bookman Old Style" w:eastAsia="Times New Roman" w:hAnsi="Bookman Old Style" w:cs="Aptos"/>
          <w:b/>
          <w:bCs/>
          <w:kern w:val="0"/>
        </w:rPr>
        <w:t>fino al 15 settembre 2026</w:t>
      </w:r>
      <w:r w:rsidR="00CC3F71" w:rsidRPr="00C85FBD">
        <w:rPr>
          <w:rFonts w:ascii="Bookman Old Style" w:eastAsia="Times New Roman" w:hAnsi="Bookman Old Style" w:cs="Aptos"/>
          <w:kern w:val="0"/>
        </w:rPr>
        <w:t>, il formulario di identificazione dei rifiuti può continuare ad essere emesso in formato cartaceo.</w:t>
      </w:r>
    </w:p>
    <w:p w14:paraId="1CCB0B84" w14:textId="77777777" w:rsidR="00484965" w:rsidRPr="00C85FBD" w:rsidRDefault="00484965" w:rsidP="00C85FBD">
      <w:pPr>
        <w:spacing w:after="120" w:line="240" w:lineRule="auto"/>
        <w:jc w:val="both"/>
        <w:rPr>
          <w:rFonts w:ascii="Bookman Old Style" w:eastAsia="Times New Roman" w:hAnsi="Bookman Old Style" w:cs="Aptos"/>
          <w:kern w:val="0"/>
        </w:rPr>
      </w:pPr>
    </w:p>
    <w:p w14:paraId="3110A0EA" w14:textId="77777777" w:rsidR="003D1F55" w:rsidRPr="00C85FBD" w:rsidRDefault="003D1F55" w:rsidP="003D1F55">
      <w:pPr>
        <w:pStyle w:val="Paragrafoelenco"/>
        <w:numPr>
          <w:ilvl w:val="0"/>
          <w:numId w:val="2"/>
        </w:numPr>
        <w:spacing w:after="0" w:line="240" w:lineRule="auto"/>
        <w:jc w:val="both"/>
        <w:rPr>
          <w:rFonts w:ascii="Bookman Old Style" w:eastAsia="Times New Roman" w:hAnsi="Bookman Old Style" w:cs="Aptos"/>
          <w:kern w:val="0"/>
        </w:rPr>
      </w:pPr>
      <w:r>
        <w:rPr>
          <w:rFonts w:ascii="Bookman Old Style" w:eastAsia="Times New Roman" w:hAnsi="Bookman Old Style" w:cs="Calibri"/>
          <w:b/>
          <w:bCs/>
          <w:color w:val="004F88"/>
          <w:kern w:val="0"/>
        </w:rPr>
        <w:t xml:space="preserve">Proroga </w:t>
      </w:r>
      <w:r w:rsidRPr="00CC3F71">
        <w:rPr>
          <w:rFonts w:ascii="Bookman Old Style" w:eastAsia="Times New Roman" w:hAnsi="Bookman Old Style" w:cs="Calibri"/>
          <w:b/>
          <w:bCs/>
          <w:color w:val="004F88"/>
          <w:kern w:val="0"/>
        </w:rPr>
        <w:t>iscrizione albo gestori ambientali trasportatori rifiuti</w:t>
      </w:r>
      <w:r>
        <w:rPr>
          <w:rFonts w:ascii="Bookman Old Style" w:eastAsia="Times New Roman" w:hAnsi="Bookman Old Style" w:cs="Calibri"/>
          <w:b/>
          <w:bCs/>
          <w:color w:val="004F88"/>
          <w:kern w:val="0"/>
        </w:rPr>
        <w:t xml:space="preserve"> (Art. 13, comma 5 quinquies)</w:t>
      </w:r>
    </w:p>
    <w:p w14:paraId="65F9F62A" w14:textId="77777777" w:rsidR="003D1F55" w:rsidRDefault="003D1F55" w:rsidP="003D1F55">
      <w:pPr>
        <w:spacing w:after="0" w:line="240" w:lineRule="auto"/>
        <w:contextualSpacing/>
        <w:jc w:val="both"/>
        <w:rPr>
          <w:rFonts w:ascii="Bookman Old Style" w:hAnsi="Bookman Old Style" w:cs="Aptos"/>
          <w:kern w:val="0"/>
        </w:rPr>
      </w:pPr>
      <w:r w:rsidRPr="003D2530">
        <w:rPr>
          <w:rFonts w:ascii="Bookman Old Style" w:eastAsia="Times New Roman" w:hAnsi="Bookman Old Style" w:cs="Calibri"/>
          <w:kern w:val="0"/>
        </w:rPr>
        <w:t xml:space="preserve">La norma, </w:t>
      </w:r>
      <w:r w:rsidRPr="003D2530">
        <w:rPr>
          <w:rFonts w:ascii="Bookman Old Style" w:eastAsiaTheme="majorEastAsia" w:hAnsi="Bookman Old Style" w:cstheme="majorBidi"/>
        </w:rPr>
        <w:t xml:space="preserve">approvata </w:t>
      </w:r>
      <w:r w:rsidRPr="00FB740B">
        <w:rPr>
          <w:rFonts w:ascii="Bookman Old Style" w:eastAsiaTheme="majorEastAsia" w:hAnsi="Bookman Old Style" w:cstheme="majorBidi"/>
        </w:rPr>
        <w:t>nelle commissioni in sede referente</w:t>
      </w:r>
      <w:r>
        <w:rPr>
          <w:rFonts w:ascii="Bookman Old Style" w:eastAsiaTheme="majorEastAsia" w:hAnsi="Bookman Old Style" w:cstheme="majorBidi"/>
        </w:rPr>
        <w:t>,</w:t>
      </w:r>
      <w:r w:rsidRPr="00CC3F71">
        <w:rPr>
          <w:rFonts w:ascii="Bookman Old Style" w:hAnsi="Bookman Old Style" w:cs="Aptos"/>
          <w:kern w:val="0"/>
        </w:rPr>
        <w:t xml:space="preserve"> </w:t>
      </w:r>
      <w:r w:rsidRPr="00E64E1F">
        <w:rPr>
          <w:rFonts w:ascii="Bookman Old Style" w:hAnsi="Bookman Old Style" w:cs="Aptos"/>
          <w:b/>
          <w:bCs/>
          <w:kern w:val="0"/>
        </w:rPr>
        <w:t>p</w:t>
      </w:r>
      <w:r w:rsidRPr="00CC3F71">
        <w:rPr>
          <w:rFonts w:ascii="Bookman Old Style" w:hAnsi="Bookman Old Style" w:cs="Aptos"/>
          <w:b/>
          <w:bCs/>
          <w:kern w:val="0"/>
        </w:rPr>
        <w:t>roroga al 30 giugno 2026</w:t>
      </w:r>
      <w:r w:rsidRPr="00CC3F71">
        <w:rPr>
          <w:rFonts w:ascii="Bookman Old Style" w:hAnsi="Bookman Old Style" w:cs="Aptos"/>
          <w:kern w:val="0"/>
        </w:rPr>
        <w:t xml:space="preserve"> il termine per il quale la disponibilità delle tecnologie di geolocalizzazione sia requisito di idoneità tecnica per l'iscrizione all'Albo nazionale gestori ambientali categoria 5. Inoltre, Il Comitato nazionale dell'Albo gestori ambientali stabilisce, con proprie deliberazioni, nel rispetto del termine massimo previsto sopra i tempi e le modalità che i trasportatori di rifiuti pericolosi devono osservare per l'installazione di sistemi di geolocalizzazione sugli autoveicoli adibiti a tale attività di trasporto.</w:t>
      </w:r>
    </w:p>
    <w:p w14:paraId="356C79C8" w14:textId="77777777" w:rsidR="00D054B6" w:rsidRDefault="00D054B6" w:rsidP="003D1F55">
      <w:pPr>
        <w:spacing w:after="0" w:line="240" w:lineRule="auto"/>
        <w:contextualSpacing/>
        <w:jc w:val="both"/>
        <w:rPr>
          <w:rFonts w:ascii="Bookman Old Style" w:hAnsi="Bookman Old Style" w:cs="Aptos"/>
          <w:kern w:val="0"/>
        </w:rPr>
      </w:pPr>
    </w:p>
    <w:p w14:paraId="6AC8EAAA" w14:textId="77777777" w:rsidR="002C7D03" w:rsidRDefault="002C7D03" w:rsidP="003D1F55">
      <w:pPr>
        <w:spacing w:after="0" w:line="240" w:lineRule="auto"/>
        <w:contextualSpacing/>
        <w:jc w:val="both"/>
        <w:rPr>
          <w:rFonts w:ascii="Bookman Old Style" w:hAnsi="Bookman Old Style" w:cs="Aptos"/>
          <w:kern w:val="0"/>
        </w:rPr>
      </w:pPr>
    </w:p>
    <w:p w14:paraId="06697443" w14:textId="77777777" w:rsidR="00E64E1F" w:rsidRDefault="00E64E1F" w:rsidP="00E64E1F">
      <w:pPr>
        <w:spacing w:after="120" w:line="240" w:lineRule="auto"/>
        <w:contextualSpacing/>
        <w:jc w:val="both"/>
        <w:rPr>
          <w:rFonts w:ascii="Bookman Old Style" w:hAnsi="Bookman Old Style" w:cs="Aptos"/>
          <w:kern w:val="0"/>
        </w:rPr>
      </w:pPr>
    </w:p>
    <w:p w14:paraId="4B6E2D40" w14:textId="1F9EB74B" w:rsidR="00EF026E" w:rsidRPr="00EF026E" w:rsidRDefault="00525490" w:rsidP="00D545F2">
      <w:pPr>
        <w:numPr>
          <w:ilvl w:val="0"/>
          <w:numId w:val="3"/>
        </w:numPr>
        <w:spacing w:after="0" w:line="240" w:lineRule="auto"/>
        <w:jc w:val="both"/>
        <w:rPr>
          <w:rFonts w:ascii="Bookman Old Style" w:hAnsi="Bookman Old Style" w:cs="Aptos"/>
          <w:kern w:val="0"/>
        </w:rPr>
      </w:pPr>
      <w:r>
        <w:rPr>
          <w:rFonts w:ascii="Bookman Old Style" w:eastAsia="Times New Roman" w:hAnsi="Bookman Old Style" w:cs="Calibri"/>
          <w:b/>
          <w:bCs/>
          <w:color w:val="004F88"/>
          <w:kern w:val="0"/>
        </w:rPr>
        <w:lastRenderedPageBreak/>
        <w:t>Soppressione</w:t>
      </w:r>
      <w:r w:rsidR="00EF026E" w:rsidRPr="00EF026E">
        <w:rPr>
          <w:rFonts w:ascii="Bookman Old Style" w:eastAsia="Times New Roman" w:hAnsi="Bookman Old Style" w:cs="Calibri"/>
          <w:b/>
          <w:bCs/>
          <w:color w:val="004F88"/>
          <w:kern w:val="0"/>
        </w:rPr>
        <w:t xml:space="preserve"> proroga iscrizione </w:t>
      </w:r>
      <w:r w:rsidR="00EF026E">
        <w:rPr>
          <w:rFonts w:ascii="Bookman Old Style" w:eastAsia="Times New Roman" w:hAnsi="Bookman Old Style" w:cs="Calibri"/>
          <w:b/>
          <w:bCs/>
          <w:color w:val="004F88"/>
          <w:kern w:val="0"/>
        </w:rPr>
        <w:t>R</w:t>
      </w:r>
      <w:r w:rsidR="006919EB">
        <w:rPr>
          <w:rFonts w:ascii="Bookman Old Style" w:eastAsia="Times New Roman" w:hAnsi="Bookman Old Style" w:cs="Calibri"/>
          <w:b/>
          <w:bCs/>
          <w:color w:val="004F88"/>
          <w:kern w:val="0"/>
        </w:rPr>
        <w:t>ENTRI</w:t>
      </w:r>
      <w:r w:rsidR="00B55B0A">
        <w:rPr>
          <w:rFonts w:ascii="Bookman Old Style" w:eastAsia="Times New Roman" w:hAnsi="Bookman Old Style" w:cs="Calibri"/>
          <w:b/>
          <w:bCs/>
          <w:color w:val="004F88"/>
          <w:kern w:val="0"/>
        </w:rPr>
        <w:t xml:space="preserve"> (art. </w:t>
      </w:r>
      <w:r w:rsidR="009E0968">
        <w:rPr>
          <w:rFonts w:ascii="Bookman Old Style" w:eastAsia="Times New Roman" w:hAnsi="Bookman Old Style" w:cs="Calibri"/>
          <w:b/>
          <w:bCs/>
          <w:color w:val="004F88"/>
          <w:kern w:val="0"/>
        </w:rPr>
        <w:t>13</w:t>
      </w:r>
      <w:r w:rsidR="00B55B0A">
        <w:rPr>
          <w:rFonts w:ascii="Bookman Old Style" w:eastAsia="Times New Roman" w:hAnsi="Bookman Old Style" w:cs="Calibri"/>
          <w:b/>
          <w:bCs/>
          <w:color w:val="004F88"/>
          <w:kern w:val="0"/>
        </w:rPr>
        <w:t xml:space="preserve">, comma 5 </w:t>
      </w:r>
      <w:proofErr w:type="spellStart"/>
      <w:r w:rsidR="007449F7">
        <w:rPr>
          <w:rFonts w:ascii="Bookman Old Style" w:eastAsia="Times New Roman" w:hAnsi="Bookman Old Style" w:cs="Calibri"/>
          <w:b/>
          <w:bCs/>
          <w:color w:val="004F88"/>
          <w:kern w:val="0"/>
        </w:rPr>
        <w:t>septies</w:t>
      </w:r>
      <w:proofErr w:type="spellEnd"/>
      <w:r w:rsidR="00365E0F">
        <w:rPr>
          <w:rFonts w:ascii="Bookman Old Style" w:eastAsia="Times New Roman" w:hAnsi="Bookman Old Style" w:cs="Calibri"/>
          <w:b/>
          <w:bCs/>
          <w:color w:val="004F88"/>
          <w:kern w:val="0"/>
        </w:rPr>
        <w:t xml:space="preserve">- 5 </w:t>
      </w:r>
      <w:proofErr w:type="spellStart"/>
      <w:r w:rsidR="00365E0F">
        <w:rPr>
          <w:rFonts w:ascii="Bookman Old Style" w:eastAsia="Times New Roman" w:hAnsi="Bookman Old Style" w:cs="Calibri"/>
          <w:b/>
          <w:bCs/>
          <w:color w:val="004F88"/>
          <w:kern w:val="0"/>
        </w:rPr>
        <w:t>octies</w:t>
      </w:r>
      <w:proofErr w:type="spellEnd"/>
      <w:r w:rsidR="00B55B0A">
        <w:rPr>
          <w:rFonts w:ascii="Bookman Old Style" w:eastAsia="Times New Roman" w:hAnsi="Bookman Old Style" w:cs="Calibri"/>
          <w:b/>
          <w:bCs/>
          <w:color w:val="004F88"/>
          <w:kern w:val="0"/>
        </w:rPr>
        <w:t>)</w:t>
      </w:r>
    </w:p>
    <w:p w14:paraId="3E570780" w14:textId="34BBD5A0" w:rsidR="00CC3F71" w:rsidRPr="00CC3F71" w:rsidRDefault="00EF026E" w:rsidP="00D545F2">
      <w:pPr>
        <w:spacing w:after="0" w:line="240" w:lineRule="auto"/>
        <w:jc w:val="both"/>
        <w:rPr>
          <w:rFonts w:ascii="Bookman Old Style" w:hAnsi="Bookman Old Style" w:cs="Aptos"/>
          <w:kern w:val="0"/>
        </w:rPr>
      </w:pPr>
      <w:r w:rsidRPr="003D2530">
        <w:rPr>
          <w:rFonts w:ascii="Bookman Old Style" w:eastAsia="Times New Roman" w:hAnsi="Bookman Old Style" w:cs="Calibri"/>
          <w:kern w:val="0"/>
        </w:rPr>
        <w:t xml:space="preserve">La norma, </w:t>
      </w:r>
      <w:r w:rsidRPr="003D2530">
        <w:rPr>
          <w:rFonts w:ascii="Bookman Old Style" w:eastAsiaTheme="majorEastAsia" w:hAnsi="Bookman Old Style" w:cstheme="majorBidi"/>
        </w:rPr>
        <w:t xml:space="preserve">approvata </w:t>
      </w:r>
      <w:r w:rsidRPr="00FB740B">
        <w:rPr>
          <w:rFonts w:ascii="Bookman Old Style" w:eastAsiaTheme="majorEastAsia" w:hAnsi="Bookman Old Style" w:cstheme="majorBidi"/>
        </w:rPr>
        <w:t>nelle commissioni in sede referente</w:t>
      </w:r>
      <w:r>
        <w:rPr>
          <w:rFonts w:ascii="Bookman Old Style" w:eastAsiaTheme="majorEastAsia" w:hAnsi="Bookman Old Style" w:cstheme="majorBidi"/>
        </w:rPr>
        <w:t>,</w:t>
      </w:r>
      <w:r w:rsidRPr="00CC3F71">
        <w:rPr>
          <w:rFonts w:ascii="Bookman Old Style" w:hAnsi="Bookman Old Style" w:cs="Aptos"/>
          <w:kern w:val="0"/>
        </w:rPr>
        <w:t xml:space="preserve"> </w:t>
      </w:r>
      <w:r w:rsidR="00525490" w:rsidRPr="00525490">
        <w:rPr>
          <w:rFonts w:ascii="Bookman Old Style" w:eastAsia="Times New Roman" w:hAnsi="Bookman Old Style" w:cs="Calibri"/>
          <w:kern w:val="0"/>
        </w:rPr>
        <w:t>a</w:t>
      </w:r>
      <w:r w:rsidR="00CC3F71" w:rsidRPr="00CC3F71">
        <w:rPr>
          <w:rFonts w:ascii="Bookman Old Style" w:hAnsi="Bookman Old Style" w:cs="Aptos"/>
          <w:kern w:val="0"/>
        </w:rPr>
        <w:t>broga la disposizione che prevedeva la proroga da 60 a 120 giorni del termine entro il quale enti e imprese devono iscriversi al Registro elettronico nazionale per la tracciabilità dei rifiuti (RENTRI).</w:t>
      </w:r>
    </w:p>
    <w:p w14:paraId="2BC7803C" w14:textId="77777777" w:rsidR="00CC3F71" w:rsidRDefault="00CC3F71" w:rsidP="00CC3F71">
      <w:pPr>
        <w:spacing w:after="120" w:line="240" w:lineRule="auto"/>
        <w:jc w:val="both"/>
        <w:rPr>
          <w:rFonts w:ascii="Bookman Old Style" w:hAnsi="Bookman Old Style" w:cs="Aptos"/>
          <w:b/>
          <w:bCs/>
          <w:kern w:val="0"/>
        </w:rPr>
      </w:pPr>
    </w:p>
    <w:p w14:paraId="004DA550" w14:textId="77777777" w:rsidR="009A43D8" w:rsidRPr="00CC3F71" w:rsidRDefault="009A43D8" w:rsidP="00CC3F71">
      <w:pPr>
        <w:spacing w:after="120" w:line="240" w:lineRule="auto"/>
        <w:jc w:val="both"/>
        <w:rPr>
          <w:rFonts w:ascii="Bookman Old Style" w:hAnsi="Bookman Old Style" w:cs="Aptos"/>
          <w:b/>
          <w:bCs/>
          <w:kern w:val="0"/>
        </w:rPr>
      </w:pPr>
    </w:p>
    <w:p w14:paraId="2D4056B8" w14:textId="1D49F5B1" w:rsidR="00CC3F71" w:rsidRPr="009A43D8" w:rsidRDefault="00FD2DD3" w:rsidP="00D545F2">
      <w:pPr>
        <w:rPr>
          <w:rFonts w:ascii="Bookman Old Style" w:hAnsi="Bookman Old Style" w:cs="Aptos"/>
          <w:b/>
          <w:bCs/>
          <w:kern w:val="0"/>
        </w:rPr>
      </w:pPr>
      <w:r w:rsidRPr="009A43D8">
        <w:rPr>
          <w:rFonts w:ascii="Bookman Old Style" w:hAnsi="Bookman Old Style" w:cs="Aptos"/>
          <w:b/>
          <w:bCs/>
          <w:kern w:val="0"/>
        </w:rPr>
        <w:t>T</w:t>
      </w:r>
      <w:r w:rsidR="009A43D8" w:rsidRPr="009A43D8">
        <w:rPr>
          <w:rFonts w:ascii="Bookman Old Style" w:hAnsi="Bookman Old Style" w:cs="Aptos"/>
          <w:b/>
          <w:bCs/>
          <w:kern w:val="0"/>
        </w:rPr>
        <w:t xml:space="preserve">ABELLA RIEPILOGATIVA </w:t>
      </w:r>
      <w:r w:rsidR="008E1562">
        <w:rPr>
          <w:rFonts w:ascii="Bookman Old Style" w:hAnsi="Bookman Old Style" w:cs="Aptos"/>
          <w:b/>
          <w:bCs/>
          <w:kern w:val="0"/>
        </w:rPr>
        <w:t>DELLE PROROGHE</w:t>
      </w:r>
    </w:p>
    <w:tbl>
      <w:tblPr>
        <w:tblStyle w:val="Grigliatabella"/>
        <w:tblW w:w="0" w:type="auto"/>
        <w:tblLook w:val="04A0" w:firstRow="1" w:lastRow="0" w:firstColumn="1" w:lastColumn="0" w:noHBand="0" w:noVBand="1"/>
      </w:tblPr>
      <w:tblGrid>
        <w:gridCol w:w="3209"/>
        <w:gridCol w:w="3209"/>
        <w:gridCol w:w="3210"/>
      </w:tblGrid>
      <w:tr w:rsidR="007F7BFD" w14:paraId="2CCECCF1" w14:textId="77777777" w:rsidTr="007F7BFD">
        <w:tc>
          <w:tcPr>
            <w:tcW w:w="3209" w:type="dxa"/>
          </w:tcPr>
          <w:p w14:paraId="239D9B43" w14:textId="39580CAA" w:rsidR="007F7BFD" w:rsidRPr="00FD2DD3" w:rsidRDefault="000A1AA4">
            <w:pPr>
              <w:rPr>
                <w:rFonts w:ascii="Bookman Old Style" w:hAnsi="Bookman Old Style"/>
                <w:b/>
                <w:bCs/>
              </w:rPr>
            </w:pPr>
            <w:r w:rsidRPr="00FD2DD3">
              <w:rPr>
                <w:rFonts w:ascii="Bookman Old Style" w:hAnsi="Bookman Old Style"/>
                <w:b/>
                <w:bCs/>
              </w:rPr>
              <w:t>Norma</w:t>
            </w:r>
          </w:p>
        </w:tc>
        <w:tc>
          <w:tcPr>
            <w:tcW w:w="3209" w:type="dxa"/>
          </w:tcPr>
          <w:p w14:paraId="705A11AF" w14:textId="0855C425" w:rsidR="007F7BFD" w:rsidRPr="00FD2DD3" w:rsidRDefault="000A1AA4">
            <w:pPr>
              <w:rPr>
                <w:rFonts w:ascii="Bookman Old Style" w:hAnsi="Bookman Old Style"/>
                <w:b/>
                <w:bCs/>
              </w:rPr>
            </w:pPr>
            <w:r w:rsidRPr="00FD2DD3">
              <w:rPr>
                <w:rFonts w:ascii="Bookman Old Style" w:hAnsi="Bookman Old Style"/>
                <w:b/>
                <w:bCs/>
              </w:rPr>
              <w:t>Oggetto</w:t>
            </w:r>
          </w:p>
        </w:tc>
        <w:tc>
          <w:tcPr>
            <w:tcW w:w="3210" w:type="dxa"/>
          </w:tcPr>
          <w:p w14:paraId="4A655731" w14:textId="21577054" w:rsidR="007F7BFD" w:rsidRPr="00FD2DD3" w:rsidRDefault="000A1AA4">
            <w:pPr>
              <w:rPr>
                <w:rFonts w:ascii="Bookman Old Style" w:hAnsi="Bookman Old Style"/>
                <w:b/>
                <w:bCs/>
              </w:rPr>
            </w:pPr>
            <w:r w:rsidRPr="00FD2DD3">
              <w:rPr>
                <w:rFonts w:ascii="Bookman Old Style" w:hAnsi="Bookman Old Style"/>
                <w:b/>
                <w:bCs/>
              </w:rPr>
              <w:t>Termine della proroga</w:t>
            </w:r>
          </w:p>
        </w:tc>
      </w:tr>
      <w:tr w:rsidR="007F7BFD" w14:paraId="4A82BA10" w14:textId="77777777" w:rsidTr="007F7BFD">
        <w:tc>
          <w:tcPr>
            <w:tcW w:w="3209" w:type="dxa"/>
          </w:tcPr>
          <w:p w14:paraId="149900BC" w14:textId="1DD3F3B4" w:rsidR="007F7BFD" w:rsidRPr="00FD2DD3" w:rsidRDefault="006953A9">
            <w:pPr>
              <w:rPr>
                <w:rFonts w:ascii="Bookman Old Style" w:hAnsi="Bookman Old Style"/>
                <w:color w:val="333333"/>
              </w:rPr>
            </w:pPr>
            <w:r w:rsidRPr="00FD2DD3">
              <w:rPr>
                <w:rFonts w:ascii="Bookman Old Style" w:hAnsi="Bookman Old Style"/>
                <w:color w:val="333333"/>
              </w:rPr>
              <w:t>Art 1, comma 139-</w:t>
            </w:r>
            <w:r w:rsidRPr="00FD2DD3">
              <w:rPr>
                <w:rFonts w:ascii="Bookman Old Style" w:hAnsi="Bookman Old Style"/>
                <w:i/>
                <w:iCs/>
              </w:rPr>
              <w:t>ter</w:t>
            </w:r>
            <w:r w:rsidRPr="00FD2DD3">
              <w:rPr>
                <w:rFonts w:ascii="Bookman Old Style" w:hAnsi="Bookman Old Style"/>
                <w:color w:val="333333"/>
              </w:rPr>
              <w:t>, della legge 30 dicembre 2018</w:t>
            </w:r>
            <w:r w:rsidR="00FD3CCF" w:rsidRPr="00FD2DD3">
              <w:rPr>
                <w:rFonts w:ascii="Bookman Old Style" w:hAnsi="Bookman Old Style"/>
                <w:color w:val="333333"/>
              </w:rPr>
              <w:t xml:space="preserve"> </w:t>
            </w:r>
            <w:r w:rsidRPr="00FD2DD3">
              <w:rPr>
                <w:rFonts w:ascii="Bookman Old Style" w:hAnsi="Bookman Old Style"/>
                <w:color w:val="333333"/>
              </w:rPr>
              <w:t>n. 145</w:t>
            </w:r>
          </w:p>
        </w:tc>
        <w:tc>
          <w:tcPr>
            <w:tcW w:w="3209" w:type="dxa"/>
          </w:tcPr>
          <w:p w14:paraId="4CBDF534" w14:textId="795F4F61" w:rsidR="007F7BFD" w:rsidRPr="00FD2DD3" w:rsidRDefault="00090033" w:rsidP="00850BED">
            <w:pPr>
              <w:rPr>
                <w:rFonts w:ascii="Bookman Old Style" w:hAnsi="Bookman Old Style"/>
                <w:color w:val="333333"/>
              </w:rPr>
            </w:pPr>
            <w:r w:rsidRPr="00FD2DD3">
              <w:rPr>
                <w:rFonts w:ascii="Bookman Old Style" w:hAnsi="Bookman Old Style"/>
                <w:color w:val="333333"/>
              </w:rPr>
              <w:t>Fine lavori o</w:t>
            </w:r>
            <w:r w:rsidR="00414970" w:rsidRPr="00FD2DD3">
              <w:rPr>
                <w:rFonts w:ascii="Bookman Old Style" w:hAnsi="Bookman Old Style"/>
                <w:color w:val="333333"/>
              </w:rPr>
              <w:t>p</w:t>
            </w:r>
            <w:r w:rsidRPr="00FD2DD3">
              <w:rPr>
                <w:rFonts w:ascii="Bookman Old Style" w:hAnsi="Bookman Old Style"/>
                <w:color w:val="333333"/>
              </w:rPr>
              <w:t>ere medie</w:t>
            </w:r>
          </w:p>
        </w:tc>
        <w:tc>
          <w:tcPr>
            <w:tcW w:w="3210" w:type="dxa"/>
          </w:tcPr>
          <w:p w14:paraId="2E749B9E" w14:textId="14481177" w:rsidR="007F7BFD" w:rsidRPr="00FD2DD3" w:rsidRDefault="00414970" w:rsidP="002D279D">
            <w:pPr>
              <w:jc w:val="both"/>
              <w:rPr>
                <w:rFonts w:ascii="Bookman Old Style" w:hAnsi="Bookman Old Style"/>
                <w:color w:val="333333"/>
              </w:rPr>
            </w:pPr>
            <w:r w:rsidRPr="00FD2DD3">
              <w:rPr>
                <w:rFonts w:ascii="Bookman Old Style" w:hAnsi="Bookman Old Style"/>
                <w:color w:val="333333"/>
              </w:rPr>
              <w:t>30 settembre 2026</w:t>
            </w:r>
          </w:p>
        </w:tc>
      </w:tr>
      <w:tr w:rsidR="007F7BFD" w:rsidRPr="00F7450F" w14:paraId="7B3B6EC1" w14:textId="77777777" w:rsidTr="007F7BFD">
        <w:tc>
          <w:tcPr>
            <w:tcW w:w="3209" w:type="dxa"/>
          </w:tcPr>
          <w:p w14:paraId="1428E476" w14:textId="64F6C455" w:rsidR="007F7BFD" w:rsidRPr="00FD2DD3" w:rsidRDefault="00922426">
            <w:pPr>
              <w:rPr>
                <w:rFonts w:ascii="Bookman Old Style" w:hAnsi="Bookman Old Style"/>
                <w:color w:val="333333"/>
              </w:rPr>
            </w:pPr>
            <w:r w:rsidRPr="00FD2DD3">
              <w:rPr>
                <w:rFonts w:ascii="Bookman Old Style" w:hAnsi="Bookman Old Style"/>
                <w:color w:val="333333"/>
              </w:rPr>
              <w:t>Art. 5, comma 3-bis, d</w:t>
            </w:r>
            <w:r w:rsidR="00EB6269" w:rsidRPr="00FD2DD3">
              <w:rPr>
                <w:rFonts w:ascii="Bookman Old Style" w:hAnsi="Bookman Old Style"/>
                <w:color w:val="333333"/>
              </w:rPr>
              <w:t>.</w:t>
            </w:r>
            <w:r w:rsidRPr="00FD2DD3">
              <w:rPr>
                <w:rFonts w:ascii="Bookman Old Style" w:hAnsi="Bookman Old Style"/>
                <w:color w:val="333333"/>
              </w:rPr>
              <w:t>l</w:t>
            </w:r>
            <w:r w:rsidR="00EB6269" w:rsidRPr="00FD2DD3">
              <w:rPr>
                <w:rFonts w:ascii="Bookman Old Style" w:hAnsi="Bookman Old Style"/>
                <w:color w:val="333333"/>
              </w:rPr>
              <w:t>gs.</w:t>
            </w:r>
            <w:r w:rsidRPr="00FD2DD3">
              <w:rPr>
                <w:rFonts w:ascii="Bookman Old Style" w:hAnsi="Bookman Old Style"/>
                <w:color w:val="333333"/>
              </w:rPr>
              <w:t xml:space="preserve"> </w:t>
            </w:r>
            <w:r w:rsidR="00EB6269" w:rsidRPr="00FD2DD3">
              <w:rPr>
                <w:rFonts w:ascii="Bookman Old Style" w:hAnsi="Bookman Old Style"/>
                <w:color w:val="333333"/>
              </w:rPr>
              <w:t>267/</w:t>
            </w:r>
            <w:r w:rsidRPr="00FD2DD3">
              <w:rPr>
                <w:rFonts w:ascii="Bookman Old Style" w:hAnsi="Bookman Old Style"/>
                <w:color w:val="333333"/>
              </w:rPr>
              <w:t>2000</w:t>
            </w:r>
            <w:r w:rsidR="00EB6269" w:rsidRPr="00FD2DD3">
              <w:rPr>
                <w:rFonts w:ascii="Bookman Old Style" w:hAnsi="Bookman Old Style"/>
                <w:color w:val="333333"/>
              </w:rPr>
              <w:t xml:space="preserve"> (TU Enti Locali)</w:t>
            </w:r>
          </w:p>
        </w:tc>
        <w:tc>
          <w:tcPr>
            <w:tcW w:w="3209" w:type="dxa"/>
          </w:tcPr>
          <w:p w14:paraId="7FD144E0" w14:textId="61B0E8D8" w:rsidR="007F7BFD" w:rsidRPr="00FD2DD3" w:rsidRDefault="00F7450F" w:rsidP="00850BED">
            <w:pPr>
              <w:rPr>
                <w:rFonts w:ascii="Bookman Old Style" w:hAnsi="Bookman Old Style"/>
                <w:color w:val="333333"/>
              </w:rPr>
            </w:pPr>
            <w:r w:rsidRPr="00FD2DD3">
              <w:rPr>
                <w:rFonts w:ascii="Bookman Old Style" w:hAnsi="Bookman Old Style"/>
                <w:color w:val="333333"/>
              </w:rPr>
              <w:t>Fusioni di Comuni – Erogazione contributi straordinari</w:t>
            </w:r>
          </w:p>
        </w:tc>
        <w:tc>
          <w:tcPr>
            <w:tcW w:w="3210" w:type="dxa"/>
          </w:tcPr>
          <w:p w14:paraId="1A4C468E" w14:textId="0258210E" w:rsidR="006D6880" w:rsidRPr="00FD2DD3" w:rsidRDefault="007E1186" w:rsidP="00507078">
            <w:pPr>
              <w:jc w:val="both"/>
              <w:rPr>
                <w:rFonts w:ascii="Bookman Old Style" w:hAnsi="Bookman Old Style"/>
                <w:color w:val="333333"/>
              </w:rPr>
            </w:pPr>
            <w:r w:rsidRPr="00FD2DD3">
              <w:rPr>
                <w:rFonts w:ascii="Bookman Old Style" w:hAnsi="Bookman Old Style"/>
                <w:color w:val="333333"/>
              </w:rPr>
              <w:t xml:space="preserve">Ulteriori </w:t>
            </w:r>
            <w:r w:rsidR="00CE1189" w:rsidRPr="00FD2DD3">
              <w:rPr>
                <w:rFonts w:ascii="Bookman Old Style" w:hAnsi="Bookman Old Style"/>
                <w:color w:val="333333"/>
              </w:rPr>
              <w:t>7 anni dall’entrata in vigore della fusione</w:t>
            </w:r>
          </w:p>
        </w:tc>
      </w:tr>
      <w:tr w:rsidR="007F7BFD" w:rsidRPr="00F7450F" w14:paraId="3AA760A2" w14:textId="77777777" w:rsidTr="007F7BFD">
        <w:tc>
          <w:tcPr>
            <w:tcW w:w="3209" w:type="dxa"/>
          </w:tcPr>
          <w:p w14:paraId="12587631" w14:textId="37A02CB2" w:rsidR="007F7BFD" w:rsidRPr="00FD2DD3" w:rsidRDefault="00580ABD" w:rsidP="00580ABD">
            <w:pPr>
              <w:rPr>
                <w:rFonts w:ascii="Bookman Old Style" w:hAnsi="Bookman Old Style"/>
                <w:color w:val="333333"/>
              </w:rPr>
            </w:pPr>
            <w:r w:rsidRPr="00FD2DD3">
              <w:rPr>
                <w:rFonts w:ascii="Bookman Old Style" w:hAnsi="Bookman Old Style"/>
                <w:color w:val="333333"/>
              </w:rPr>
              <w:t xml:space="preserve">Art. 13, comma 15-ter, </w:t>
            </w:r>
            <w:r w:rsidR="00EF226C" w:rsidRPr="00FD2DD3">
              <w:rPr>
                <w:rFonts w:ascii="Bookman Old Style" w:hAnsi="Bookman Old Style"/>
                <w:color w:val="333333"/>
              </w:rPr>
              <w:t xml:space="preserve">decreto-legge </w:t>
            </w:r>
            <w:r w:rsidRPr="00FD2DD3">
              <w:rPr>
                <w:rFonts w:ascii="Bookman Old Style" w:hAnsi="Bookman Old Style"/>
                <w:color w:val="333333"/>
              </w:rPr>
              <w:t>n. 201</w:t>
            </w:r>
            <w:r w:rsidR="004219B1" w:rsidRPr="00FD2DD3">
              <w:rPr>
                <w:rFonts w:ascii="Bookman Old Style" w:hAnsi="Bookman Old Style"/>
                <w:color w:val="333333"/>
              </w:rPr>
              <w:t>/2011</w:t>
            </w:r>
            <w:r w:rsidRPr="00FD2DD3">
              <w:rPr>
                <w:rFonts w:ascii="Bookman Old Style" w:hAnsi="Bookman Old Style"/>
                <w:color w:val="333333"/>
              </w:rPr>
              <w:t xml:space="preserve"> convertito</w:t>
            </w:r>
            <w:r w:rsidR="004219B1" w:rsidRPr="00FD2DD3">
              <w:rPr>
                <w:rFonts w:ascii="Bookman Old Style" w:hAnsi="Bookman Old Style"/>
                <w:color w:val="333333"/>
              </w:rPr>
              <w:t xml:space="preserve"> </w:t>
            </w:r>
            <w:r w:rsidR="00FC67FB" w:rsidRPr="00FD2DD3">
              <w:rPr>
                <w:rFonts w:ascii="Bookman Old Style" w:hAnsi="Bookman Old Style"/>
                <w:color w:val="333333"/>
              </w:rPr>
              <w:t>in Legge n.</w:t>
            </w:r>
            <w:r w:rsidRPr="00FD2DD3">
              <w:rPr>
                <w:rFonts w:ascii="Bookman Old Style" w:hAnsi="Bookman Old Style"/>
                <w:color w:val="333333"/>
              </w:rPr>
              <w:t xml:space="preserve"> 214</w:t>
            </w:r>
            <w:r w:rsidR="004219B1" w:rsidRPr="00FD2DD3">
              <w:rPr>
                <w:rFonts w:ascii="Bookman Old Style" w:hAnsi="Bookman Old Style"/>
                <w:color w:val="333333"/>
              </w:rPr>
              <w:t>/2011</w:t>
            </w:r>
          </w:p>
        </w:tc>
        <w:tc>
          <w:tcPr>
            <w:tcW w:w="3209" w:type="dxa"/>
          </w:tcPr>
          <w:p w14:paraId="66BAE527" w14:textId="72F7B8CD" w:rsidR="007F7BFD" w:rsidRPr="00FD2DD3" w:rsidRDefault="00FC67FB" w:rsidP="00850BED">
            <w:pPr>
              <w:rPr>
                <w:rFonts w:ascii="Bookman Old Style" w:hAnsi="Bookman Old Style"/>
                <w:color w:val="333333"/>
              </w:rPr>
            </w:pPr>
            <w:r w:rsidRPr="00FD2DD3">
              <w:rPr>
                <w:rFonts w:ascii="Bookman Old Style" w:hAnsi="Bookman Old Style"/>
                <w:color w:val="333333"/>
              </w:rPr>
              <w:t>Efficacia pubblicazione provvedimenti TARI 2025</w:t>
            </w:r>
          </w:p>
        </w:tc>
        <w:tc>
          <w:tcPr>
            <w:tcW w:w="3210" w:type="dxa"/>
          </w:tcPr>
          <w:p w14:paraId="6297F559" w14:textId="77777777" w:rsidR="007F7BFD" w:rsidRPr="00FD2DD3" w:rsidRDefault="00827CBE" w:rsidP="002D279D">
            <w:pPr>
              <w:jc w:val="both"/>
              <w:rPr>
                <w:rFonts w:ascii="Bookman Old Style" w:hAnsi="Bookman Old Style"/>
                <w:color w:val="333333"/>
              </w:rPr>
            </w:pPr>
            <w:r w:rsidRPr="00FD2DD3">
              <w:rPr>
                <w:rFonts w:ascii="Bookman Old Style" w:hAnsi="Bookman Old Style"/>
                <w:color w:val="333333"/>
              </w:rPr>
              <w:t>Inserimento</w:t>
            </w:r>
            <w:r w:rsidR="002D279D" w:rsidRPr="00FD2DD3">
              <w:rPr>
                <w:rFonts w:ascii="Bookman Old Style" w:hAnsi="Bookman Old Style"/>
                <w:color w:val="333333"/>
              </w:rPr>
              <w:t xml:space="preserve"> portale del federalismo fiscale entro il termine del 6 marzo 2026</w:t>
            </w:r>
            <w:r w:rsidR="00572CE1" w:rsidRPr="00FD2DD3">
              <w:rPr>
                <w:rFonts w:ascii="Bookman Old Style" w:hAnsi="Bookman Old Style"/>
                <w:color w:val="333333"/>
              </w:rPr>
              <w:t>. Pubblicazione sito Dipartimento Finanze entro il 16 marzo 2026</w:t>
            </w:r>
          </w:p>
          <w:p w14:paraId="2AF60194" w14:textId="6ABEE919" w:rsidR="006D6880" w:rsidRPr="00FD2DD3" w:rsidRDefault="006D6880" w:rsidP="002D279D">
            <w:pPr>
              <w:jc w:val="both"/>
              <w:rPr>
                <w:rFonts w:ascii="Bookman Old Style" w:hAnsi="Bookman Old Style"/>
                <w:color w:val="333333"/>
              </w:rPr>
            </w:pPr>
          </w:p>
        </w:tc>
      </w:tr>
      <w:tr w:rsidR="007F7BFD" w:rsidRPr="00F7450F" w14:paraId="660B37AF" w14:textId="77777777" w:rsidTr="007F7BFD">
        <w:tc>
          <w:tcPr>
            <w:tcW w:w="3209" w:type="dxa"/>
          </w:tcPr>
          <w:p w14:paraId="423306D6" w14:textId="3B4A0A98" w:rsidR="007F7BFD" w:rsidRPr="00FD2DD3" w:rsidRDefault="00850BED">
            <w:pPr>
              <w:rPr>
                <w:rFonts w:ascii="Bookman Old Style" w:hAnsi="Bookman Old Style"/>
                <w:color w:val="333333"/>
              </w:rPr>
            </w:pPr>
            <w:r w:rsidRPr="00FD2DD3">
              <w:rPr>
                <w:rFonts w:ascii="Bookman Old Style" w:hAnsi="Bookman Old Style"/>
                <w:color w:val="333333"/>
              </w:rPr>
              <w:t>Art. 10, comma 2, della legge 15 aprile 2024, n. 55</w:t>
            </w:r>
          </w:p>
        </w:tc>
        <w:tc>
          <w:tcPr>
            <w:tcW w:w="3209" w:type="dxa"/>
          </w:tcPr>
          <w:p w14:paraId="3A9A0D5E" w14:textId="17254B33" w:rsidR="007F7BFD" w:rsidRPr="00FD2DD3" w:rsidRDefault="002E232B" w:rsidP="00850BED">
            <w:pPr>
              <w:rPr>
                <w:rFonts w:ascii="Bookman Old Style" w:hAnsi="Bookman Old Style"/>
                <w:color w:val="333333"/>
              </w:rPr>
            </w:pPr>
            <w:r w:rsidRPr="00FD2DD3">
              <w:rPr>
                <w:rFonts w:ascii="Bookman Old Style" w:hAnsi="Bookman Old Style"/>
                <w:color w:val="333333"/>
              </w:rPr>
              <w:t xml:space="preserve">Domanda di iscrizione all’ </w:t>
            </w:r>
            <w:r w:rsidR="00572CE1" w:rsidRPr="00FD2DD3">
              <w:rPr>
                <w:rFonts w:ascii="Bookman Old Style" w:hAnsi="Bookman Old Style"/>
                <w:color w:val="333333"/>
              </w:rPr>
              <w:t>Albo</w:t>
            </w:r>
            <w:r w:rsidRPr="00FD2DD3">
              <w:rPr>
                <w:rFonts w:ascii="Bookman Old Style" w:hAnsi="Bookman Old Style"/>
                <w:color w:val="333333"/>
              </w:rPr>
              <w:t xml:space="preserve"> pedagogisti e educatori professionali</w:t>
            </w:r>
            <w:r w:rsidR="00155731" w:rsidRPr="00FD2DD3">
              <w:rPr>
                <w:rFonts w:ascii="Bookman Old Style" w:hAnsi="Bookman Old Style"/>
                <w:color w:val="333333"/>
              </w:rPr>
              <w:t xml:space="preserve"> socio pedagogici</w:t>
            </w:r>
          </w:p>
        </w:tc>
        <w:tc>
          <w:tcPr>
            <w:tcW w:w="3210" w:type="dxa"/>
          </w:tcPr>
          <w:p w14:paraId="42FFAFE2" w14:textId="0A89EF45" w:rsidR="007F7BFD" w:rsidRPr="00FD2DD3" w:rsidRDefault="00250A56">
            <w:pPr>
              <w:rPr>
                <w:rFonts w:ascii="Bookman Old Style" w:hAnsi="Bookman Old Style"/>
                <w:color w:val="333333"/>
              </w:rPr>
            </w:pPr>
            <w:r w:rsidRPr="00FD2DD3">
              <w:rPr>
                <w:rFonts w:ascii="Bookman Old Style" w:hAnsi="Bookman Old Style"/>
                <w:color w:val="333333"/>
              </w:rPr>
              <w:t>31 marzo 2027</w:t>
            </w:r>
          </w:p>
        </w:tc>
      </w:tr>
      <w:tr w:rsidR="003C6CB5" w:rsidRPr="00F7450F" w14:paraId="506058E7" w14:textId="77777777" w:rsidTr="007F7BFD">
        <w:tc>
          <w:tcPr>
            <w:tcW w:w="3209" w:type="dxa"/>
          </w:tcPr>
          <w:p w14:paraId="77284AF7" w14:textId="63C4442F" w:rsidR="003C6CB5" w:rsidRPr="00FD2DD3" w:rsidRDefault="00EF226C">
            <w:pPr>
              <w:rPr>
                <w:rFonts w:ascii="Bookman Old Style" w:hAnsi="Bookman Old Style"/>
                <w:color w:val="333333"/>
              </w:rPr>
            </w:pPr>
            <w:r w:rsidRPr="00FD2DD3">
              <w:rPr>
                <w:rFonts w:ascii="Bookman Old Style" w:hAnsi="Bookman Old Style"/>
                <w:color w:val="333333"/>
              </w:rPr>
              <w:t>Art. 5, comma 4-quinquies, decreto-legge n. 202/2024, convertito in legge n. 15/2025</w:t>
            </w:r>
          </w:p>
        </w:tc>
        <w:tc>
          <w:tcPr>
            <w:tcW w:w="3209" w:type="dxa"/>
          </w:tcPr>
          <w:p w14:paraId="5FD0CBA2" w14:textId="4A64CEDC" w:rsidR="003C6CB5" w:rsidRPr="00FD2DD3" w:rsidRDefault="003C6CB5" w:rsidP="00850BED">
            <w:pPr>
              <w:rPr>
                <w:rFonts w:ascii="Bookman Old Style" w:hAnsi="Bookman Old Style"/>
                <w:color w:val="333333"/>
              </w:rPr>
            </w:pPr>
            <w:r w:rsidRPr="00FD2DD3">
              <w:rPr>
                <w:rFonts w:ascii="Bookman Old Style" w:hAnsi="Bookman Old Style"/>
                <w:color w:val="333333"/>
              </w:rPr>
              <w:t>Adozione decreto rischi edifici scolastici</w:t>
            </w:r>
          </w:p>
        </w:tc>
        <w:tc>
          <w:tcPr>
            <w:tcW w:w="3210" w:type="dxa"/>
          </w:tcPr>
          <w:p w14:paraId="6820E0E3" w14:textId="3C230672" w:rsidR="003C6CB5" w:rsidRPr="00FD2DD3" w:rsidRDefault="003C6CB5">
            <w:pPr>
              <w:rPr>
                <w:rFonts w:ascii="Bookman Old Style" w:hAnsi="Bookman Old Style"/>
                <w:color w:val="333333"/>
              </w:rPr>
            </w:pPr>
            <w:r w:rsidRPr="00FD2DD3">
              <w:rPr>
                <w:rFonts w:ascii="Bookman Old Style" w:hAnsi="Bookman Old Style"/>
                <w:color w:val="333333"/>
              </w:rPr>
              <w:t>31 dicembre 2026</w:t>
            </w:r>
          </w:p>
        </w:tc>
      </w:tr>
      <w:tr w:rsidR="003C6CB5" w:rsidRPr="00F7450F" w14:paraId="641877B5" w14:textId="77777777" w:rsidTr="007F7BFD">
        <w:tc>
          <w:tcPr>
            <w:tcW w:w="3209" w:type="dxa"/>
          </w:tcPr>
          <w:p w14:paraId="69C33672" w14:textId="21CD625C" w:rsidR="003C6CB5" w:rsidRPr="00FD2DD3" w:rsidRDefault="003D350C">
            <w:pPr>
              <w:rPr>
                <w:rFonts w:ascii="Bookman Old Style" w:hAnsi="Bookman Old Style"/>
                <w:color w:val="333333"/>
              </w:rPr>
            </w:pPr>
            <w:r w:rsidRPr="00FD2DD3">
              <w:rPr>
                <w:rFonts w:ascii="Bookman Old Style" w:hAnsi="Bookman Old Style"/>
                <w:color w:val="333333"/>
              </w:rPr>
              <w:t>Art. 27</w:t>
            </w:r>
            <w:r w:rsidR="00B10230" w:rsidRPr="00FD2DD3">
              <w:rPr>
                <w:rFonts w:ascii="Bookman Old Style" w:hAnsi="Bookman Old Style"/>
                <w:color w:val="333333"/>
              </w:rPr>
              <w:t xml:space="preserve">, comma 6, </w:t>
            </w:r>
            <w:r w:rsidRPr="00FD2DD3">
              <w:rPr>
                <w:rFonts w:ascii="Bookman Old Style" w:hAnsi="Bookman Old Style"/>
                <w:color w:val="333333"/>
              </w:rPr>
              <w:t>del decreto-legge n. 50/2017</w:t>
            </w:r>
          </w:p>
        </w:tc>
        <w:tc>
          <w:tcPr>
            <w:tcW w:w="3209" w:type="dxa"/>
          </w:tcPr>
          <w:p w14:paraId="205849B0" w14:textId="77777777" w:rsidR="003C6CB5" w:rsidRPr="00FD2DD3" w:rsidRDefault="005951F7" w:rsidP="00850BED">
            <w:pPr>
              <w:rPr>
                <w:rFonts w:ascii="Bookman Old Style" w:hAnsi="Bookman Old Style"/>
                <w:color w:val="333333"/>
              </w:rPr>
            </w:pPr>
            <w:r w:rsidRPr="00FD2DD3">
              <w:rPr>
                <w:rFonts w:ascii="Bookman Old Style" w:hAnsi="Bookman Old Style"/>
                <w:color w:val="333333"/>
              </w:rPr>
              <w:t>Modalità riparto fondo nazionale TPL</w:t>
            </w:r>
          </w:p>
          <w:p w14:paraId="010C92E0" w14:textId="19F84378" w:rsidR="00CE1AF0" w:rsidRPr="00FD2DD3" w:rsidRDefault="00CE1AF0" w:rsidP="00850BED">
            <w:pPr>
              <w:rPr>
                <w:rFonts w:ascii="Bookman Old Style" w:hAnsi="Bookman Old Style"/>
                <w:color w:val="333333"/>
              </w:rPr>
            </w:pPr>
          </w:p>
        </w:tc>
        <w:tc>
          <w:tcPr>
            <w:tcW w:w="3210" w:type="dxa"/>
          </w:tcPr>
          <w:p w14:paraId="5A6B5E96" w14:textId="43412156" w:rsidR="003C6CB5" w:rsidRPr="00FD2DD3" w:rsidRDefault="007C09C9">
            <w:pPr>
              <w:rPr>
                <w:rFonts w:ascii="Bookman Old Style" w:hAnsi="Bookman Old Style"/>
                <w:color w:val="333333"/>
              </w:rPr>
            </w:pPr>
            <w:r w:rsidRPr="00FD2DD3">
              <w:rPr>
                <w:rFonts w:ascii="Bookman Old Style" w:hAnsi="Bookman Old Style"/>
              </w:rPr>
              <w:t>A</w:t>
            </w:r>
            <w:r w:rsidR="00DB5D04" w:rsidRPr="00FD2DD3">
              <w:rPr>
                <w:rFonts w:ascii="Bookman Old Style" w:hAnsi="Bookman Old Style"/>
              </w:rPr>
              <w:t xml:space="preserve"> decorrere dall'anno 2027</w:t>
            </w:r>
          </w:p>
        </w:tc>
      </w:tr>
      <w:tr w:rsidR="005406E7" w:rsidRPr="00F7450F" w14:paraId="3174A4B4" w14:textId="77777777" w:rsidTr="007F7BFD">
        <w:tc>
          <w:tcPr>
            <w:tcW w:w="3209" w:type="dxa"/>
          </w:tcPr>
          <w:p w14:paraId="2F46DE34" w14:textId="51C4984F" w:rsidR="005406E7" w:rsidRPr="00FD2DD3" w:rsidRDefault="001D7968" w:rsidP="005406E7">
            <w:pPr>
              <w:rPr>
                <w:rFonts w:ascii="Bookman Old Style" w:hAnsi="Bookman Old Style"/>
                <w:color w:val="333333"/>
              </w:rPr>
            </w:pPr>
            <w:r w:rsidRPr="00FD2DD3">
              <w:rPr>
                <w:rFonts w:ascii="Bookman Old Style" w:hAnsi="Bookman Old Style"/>
                <w:color w:val="333333"/>
              </w:rPr>
              <w:t>Art. 1, comma 1, lettera a), numero 7), della legge 7 gennaio 2026, n. 1</w:t>
            </w:r>
          </w:p>
        </w:tc>
        <w:tc>
          <w:tcPr>
            <w:tcW w:w="3209" w:type="dxa"/>
          </w:tcPr>
          <w:p w14:paraId="4CC7336D" w14:textId="63D37CF2" w:rsidR="005406E7" w:rsidRPr="00FD2DD3" w:rsidRDefault="00001B7B" w:rsidP="005406E7">
            <w:pPr>
              <w:rPr>
                <w:rFonts w:ascii="Bookman Old Style" w:hAnsi="Bookman Old Style"/>
                <w:color w:val="333333"/>
              </w:rPr>
            </w:pPr>
            <w:r w:rsidRPr="00FD2DD3">
              <w:rPr>
                <w:rFonts w:ascii="Bookman Old Style" w:hAnsi="Bookman Old Style"/>
                <w:color w:val="333333"/>
              </w:rPr>
              <w:t>Obblighi assicurativi pubblici funzionari</w:t>
            </w:r>
          </w:p>
        </w:tc>
        <w:tc>
          <w:tcPr>
            <w:tcW w:w="3210" w:type="dxa"/>
          </w:tcPr>
          <w:p w14:paraId="110CC1D4" w14:textId="6BB1D59A" w:rsidR="005406E7" w:rsidRPr="00FD2DD3" w:rsidRDefault="005406E7" w:rsidP="005406E7">
            <w:pPr>
              <w:rPr>
                <w:rFonts w:ascii="Bookman Old Style" w:hAnsi="Bookman Old Style"/>
                <w:color w:val="333333"/>
              </w:rPr>
            </w:pPr>
            <w:r w:rsidRPr="00FD2DD3">
              <w:rPr>
                <w:rFonts w:ascii="Bookman Old Style" w:hAnsi="Bookman Old Style"/>
              </w:rPr>
              <w:t>A decorrere dal 1° gennaio 2027</w:t>
            </w:r>
          </w:p>
        </w:tc>
      </w:tr>
      <w:tr w:rsidR="005406E7" w:rsidRPr="00F7450F" w14:paraId="55107221" w14:textId="77777777" w:rsidTr="007F7BFD">
        <w:tc>
          <w:tcPr>
            <w:tcW w:w="3209" w:type="dxa"/>
          </w:tcPr>
          <w:p w14:paraId="68F2D478" w14:textId="07533875" w:rsidR="005406E7" w:rsidRPr="00FD2DD3" w:rsidRDefault="00157885" w:rsidP="00157885">
            <w:pPr>
              <w:rPr>
                <w:rFonts w:ascii="Bookman Old Style" w:hAnsi="Bookman Old Style"/>
                <w:color w:val="333333"/>
              </w:rPr>
            </w:pPr>
            <w:r w:rsidRPr="00FD2DD3">
              <w:rPr>
                <w:rFonts w:ascii="Bookman Old Style" w:hAnsi="Bookman Old Style"/>
                <w:color w:val="333333"/>
              </w:rPr>
              <w:t>Art.1, comma 808, legge</w:t>
            </w:r>
            <w:r w:rsidR="007B5852" w:rsidRPr="00FD2DD3">
              <w:rPr>
                <w:rFonts w:ascii="Bookman Old Style" w:hAnsi="Bookman Old Style"/>
                <w:color w:val="333333"/>
              </w:rPr>
              <w:t xml:space="preserve"> </w:t>
            </w:r>
            <w:r w:rsidRPr="00FD2DD3">
              <w:rPr>
                <w:rFonts w:ascii="Bookman Old Style" w:hAnsi="Bookman Old Style"/>
                <w:color w:val="333333"/>
              </w:rPr>
              <w:t>n. 160/</w:t>
            </w:r>
            <w:r w:rsidR="007B5852" w:rsidRPr="00FD2DD3">
              <w:rPr>
                <w:rFonts w:ascii="Bookman Old Style" w:hAnsi="Bookman Old Style"/>
                <w:color w:val="333333"/>
              </w:rPr>
              <w:t>2019</w:t>
            </w:r>
          </w:p>
        </w:tc>
        <w:tc>
          <w:tcPr>
            <w:tcW w:w="3209" w:type="dxa"/>
          </w:tcPr>
          <w:p w14:paraId="46CDF0A9" w14:textId="587432C6" w:rsidR="005406E7" w:rsidRPr="00FD2DD3" w:rsidRDefault="00151BCA" w:rsidP="005406E7">
            <w:pPr>
              <w:rPr>
                <w:rFonts w:ascii="Bookman Old Style" w:hAnsi="Bookman Old Style"/>
                <w:color w:val="333333"/>
              </w:rPr>
            </w:pPr>
            <w:r w:rsidRPr="00FD2DD3">
              <w:rPr>
                <w:rFonts w:ascii="Bookman Old Style" w:hAnsi="Bookman Old Style"/>
                <w:color w:val="333333"/>
              </w:rPr>
              <w:t>Adeguamento capitale sociale entrate enti locali</w:t>
            </w:r>
          </w:p>
        </w:tc>
        <w:tc>
          <w:tcPr>
            <w:tcW w:w="3210" w:type="dxa"/>
          </w:tcPr>
          <w:p w14:paraId="659660E7" w14:textId="3117B3D1" w:rsidR="005406E7" w:rsidRPr="00FD2DD3" w:rsidRDefault="00B97BD2" w:rsidP="005406E7">
            <w:pPr>
              <w:rPr>
                <w:rFonts w:ascii="Bookman Old Style" w:hAnsi="Bookman Old Style"/>
                <w:color w:val="333333"/>
              </w:rPr>
            </w:pPr>
            <w:r w:rsidRPr="00FD2DD3">
              <w:rPr>
                <w:rFonts w:ascii="Bookman Old Style" w:hAnsi="Bookman Old Style" w:cs="Calibri"/>
                <w:lang w:eastAsia="it-IT"/>
                <w14:ligatures w14:val="none"/>
              </w:rPr>
              <w:t>31 dicembre 2026</w:t>
            </w:r>
          </w:p>
        </w:tc>
      </w:tr>
      <w:tr w:rsidR="005406E7" w:rsidRPr="00F7450F" w14:paraId="0E8ADAA0" w14:textId="77777777" w:rsidTr="007F7BFD">
        <w:tc>
          <w:tcPr>
            <w:tcW w:w="3209" w:type="dxa"/>
          </w:tcPr>
          <w:p w14:paraId="4C6603D6" w14:textId="6660E580" w:rsidR="005406E7" w:rsidRPr="00FD2DD3" w:rsidRDefault="00E9349A" w:rsidP="005406E7">
            <w:pPr>
              <w:rPr>
                <w:rFonts w:ascii="Bookman Old Style" w:hAnsi="Bookman Old Style"/>
                <w:color w:val="333333"/>
              </w:rPr>
            </w:pPr>
            <w:r w:rsidRPr="00FD2DD3">
              <w:rPr>
                <w:rFonts w:ascii="Bookman Old Style" w:hAnsi="Bookman Old Style"/>
                <w:color w:val="333333"/>
              </w:rPr>
              <w:t xml:space="preserve">Art. 1, </w:t>
            </w:r>
            <w:r w:rsidRPr="00FD2DD3">
              <w:rPr>
                <w:rFonts w:ascii="Bookman Old Style" w:hAnsi="Bookman Old Style" w:cs="Calibri"/>
                <w:kern w:val="0"/>
                <w:lang w:eastAsia="it-IT"/>
                <w14:ligatures w14:val="none"/>
              </w:rPr>
              <w:t>comma 773, Legge   n. 199</w:t>
            </w:r>
            <w:r w:rsidR="00155167" w:rsidRPr="00FD2DD3">
              <w:rPr>
                <w:rFonts w:ascii="Bookman Old Style" w:hAnsi="Bookman Old Style" w:cs="Calibri"/>
                <w:kern w:val="0"/>
                <w:lang w:eastAsia="it-IT"/>
                <w14:ligatures w14:val="none"/>
              </w:rPr>
              <w:t>/2025 (Legge di bilancio 2026)</w:t>
            </w:r>
          </w:p>
        </w:tc>
        <w:tc>
          <w:tcPr>
            <w:tcW w:w="3209" w:type="dxa"/>
          </w:tcPr>
          <w:p w14:paraId="00AE1491" w14:textId="53382205" w:rsidR="005406E7" w:rsidRPr="00FD2DD3" w:rsidRDefault="007B5852" w:rsidP="007B5852">
            <w:pPr>
              <w:tabs>
                <w:tab w:val="left" w:pos="975"/>
              </w:tabs>
              <w:rPr>
                <w:rFonts w:ascii="Bookman Old Style" w:hAnsi="Bookman Old Style"/>
                <w:color w:val="333333"/>
              </w:rPr>
            </w:pPr>
            <w:r w:rsidRPr="00FD2DD3">
              <w:rPr>
                <w:rFonts w:ascii="Bookman Old Style" w:hAnsi="Bookman Old Style"/>
                <w:color w:val="333333"/>
              </w:rPr>
              <w:t>Decreto MEF fondi enti locali, infrastrutture, sport cultura, patrimonio storico artistico</w:t>
            </w:r>
          </w:p>
        </w:tc>
        <w:tc>
          <w:tcPr>
            <w:tcW w:w="3210" w:type="dxa"/>
          </w:tcPr>
          <w:p w14:paraId="3157C0C4" w14:textId="1232D708" w:rsidR="005406E7" w:rsidRPr="00FD2DD3" w:rsidRDefault="006F2D91" w:rsidP="005406E7">
            <w:pPr>
              <w:rPr>
                <w:rFonts w:ascii="Bookman Old Style" w:hAnsi="Bookman Old Style"/>
                <w:color w:val="333333"/>
              </w:rPr>
            </w:pPr>
            <w:r w:rsidRPr="00FD2DD3">
              <w:rPr>
                <w:rFonts w:ascii="Bookman Old Style" w:hAnsi="Bookman Old Style" w:cs="Calibri"/>
                <w:kern w:val="0"/>
                <w:lang w:eastAsia="it-IT"/>
                <w14:ligatures w14:val="none"/>
              </w:rPr>
              <w:t>Spostato da</w:t>
            </w:r>
            <w:r w:rsidR="007B5852" w:rsidRPr="00FD2DD3">
              <w:rPr>
                <w:rFonts w:ascii="Bookman Old Style" w:hAnsi="Bookman Old Style" w:cs="Calibri"/>
                <w:kern w:val="0"/>
                <w:lang w:eastAsia="it-IT"/>
                <w14:ligatures w14:val="none"/>
              </w:rPr>
              <w:t xml:space="preserve"> 60 a 75 giorni</w:t>
            </w:r>
            <w:r w:rsidRPr="00FD2DD3">
              <w:rPr>
                <w:rFonts w:ascii="Bookman Old Style" w:hAnsi="Bookman Old Style" w:cs="Calibri"/>
                <w:kern w:val="0"/>
                <w:lang w:eastAsia="it-IT"/>
                <w14:ligatures w14:val="none"/>
              </w:rPr>
              <w:t>,</w:t>
            </w:r>
            <w:r w:rsidR="007B5852" w:rsidRPr="00FD2DD3">
              <w:rPr>
                <w:rFonts w:ascii="Bookman Old Style" w:hAnsi="Bookman Old Style" w:cs="Calibri"/>
                <w:kern w:val="0"/>
                <w:lang w:eastAsia="it-IT"/>
                <w14:ligatures w14:val="none"/>
              </w:rPr>
              <w:t xml:space="preserve"> </w:t>
            </w:r>
            <w:r w:rsidRPr="00FD2DD3">
              <w:rPr>
                <w:rFonts w:ascii="Bookman Old Style" w:hAnsi="Bookman Old Style" w:cs="Calibri"/>
                <w:kern w:val="0"/>
                <w:lang w:eastAsia="it-IT"/>
                <w14:ligatures w14:val="none"/>
              </w:rPr>
              <w:t xml:space="preserve">calcolati a partire dal 1° gennaio 2026 (data di </w:t>
            </w:r>
            <w:r w:rsidR="007B5852" w:rsidRPr="00FD2DD3">
              <w:rPr>
                <w:rFonts w:ascii="Bookman Old Style" w:hAnsi="Bookman Old Style" w:cs="Calibri"/>
                <w:kern w:val="0"/>
                <w:lang w:eastAsia="it-IT"/>
                <w14:ligatures w14:val="none"/>
              </w:rPr>
              <w:t>entrata in vigore della Legge di Bilancio per il 2026</w:t>
            </w:r>
            <w:r w:rsidR="00D37C2E" w:rsidRPr="00FD2DD3">
              <w:rPr>
                <w:rFonts w:ascii="Bookman Old Style" w:hAnsi="Bookman Old Style" w:cs="Calibri"/>
                <w:kern w:val="0"/>
                <w:lang w:eastAsia="it-IT"/>
                <w14:ligatures w14:val="none"/>
              </w:rPr>
              <w:t>)</w:t>
            </w:r>
          </w:p>
        </w:tc>
      </w:tr>
      <w:tr w:rsidR="005406E7" w:rsidRPr="00F7450F" w14:paraId="06038C7F" w14:textId="77777777" w:rsidTr="007F7BFD">
        <w:tc>
          <w:tcPr>
            <w:tcW w:w="3209" w:type="dxa"/>
          </w:tcPr>
          <w:p w14:paraId="500DE4DF" w14:textId="3F297BBE" w:rsidR="005406E7" w:rsidRPr="00FD2DD3" w:rsidRDefault="00205459" w:rsidP="005406E7">
            <w:pPr>
              <w:rPr>
                <w:rFonts w:ascii="Bookman Old Style" w:hAnsi="Bookman Old Style"/>
                <w:color w:val="333333"/>
              </w:rPr>
            </w:pPr>
            <w:r w:rsidRPr="00FD2DD3">
              <w:rPr>
                <w:rFonts w:ascii="Bookman Old Style" w:hAnsi="Bookman Old Style" w:cs="Calibri"/>
                <w:kern w:val="0"/>
                <w:lang w:eastAsia="it-IT"/>
                <w14:ligatures w14:val="none"/>
              </w:rPr>
              <w:t xml:space="preserve">Art. 26, comma 13, della legge n.118/2022, 118 (modifiche al </w:t>
            </w:r>
            <w:r w:rsidR="003C0A02" w:rsidRPr="00FD2DD3">
              <w:rPr>
                <w:rFonts w:ascii="Bookman Old Style" w:hAnsi="Bookman Old Style" w:cs="Calibri"/>
                <w:kern w:val="0"/>
                <w:lang w:eastAsia="it-IT"/>
                <w14:ligatures w14:val="none"/>
              </w:rPr>
              <w:t>D.P.R. 31/2017</w:t>
            </w:r>
            <w:r w:rsidRPr="00FD2DD3">
              <w:rPr>
                <w:rFonts w:ascii="Bookman Old Style" w:hAnsi="Bookman Old Style" w:cs="Calibri"/>
                <w:kern w:val="0"/>
                <w:lang w:eastAsia="it-IT"/>
                <w14:ligatures w14:val="none"/>
              </w:rPr>
              <w:t>)</w:t>
            </w:r>
          </w:p>
        </w:tc>
        <w:tc>
          <w:tcPr>
            <w:tcW w:w="3209" w:type="dxa"/>
          </w:tcPr>
          <w:p w14:paraId="40121E05" w14:textId="739F4AC3" w:rsidR="005406E7" w:rsidRPr="00FD2DD3" w:rsidRDefault="002C0D5B" w:rsidP="002C0D5B">
            <w:pPr>
              <w:tabs>
                <w:tab w:val="left" w:pos="975"/>
              </w:tabs>
              <w:rPr>
                <w:rFonts w:ascii="Bookman Old Style" w:hAnsi="Bookman Old Style"/>
                <w:color w:val="333333"/>
              </w:rPr>
            </w:pPr>
            <w:r w:rsidRPr="00FD2DD3">
              <w:rPr>
                <w:rFonts w:ascii="Bookman Old Style" w:hAnsi="Bookman Old Style"/>
                <w:color w:val="333333"/>
              </w:rPr>
              <w:t>Interventi esclusi dall’autorizzazione paesaggistica</w:t>
            </w:r>
          </w:p>
        </w:tc>
        <w:tc>
          <w:tcPr>
            <w:tcW w:w="3210" w:type="dxa"/>
          </w:tcPr>
          <w:p w14:paraId="12168BF2" w14:textId="4EA5624E" w:rsidR="005406E7" w:rsidRPr="00FD2DD3" w:rsidRDefault="00724DC6" w:rsidP="005406E7">
            <w:pPr>
              <w:rPr>
                <w:rFonts w:ascii="Bookman Old Style" w:hAnsi="Bookman Old Style"/>
                <w:color w:val="333333"/>
              </w:rPr>
            </w:pPr>
            <w:r w:rsidRPr="00FD2DD3">
              <w:rPr>
                <w:rFonts w:ascii="Bookman Old Style" w:hAnsi="Bookman Old Style" w:cs="Aptos"/>
                <w:kern w:val="0"/>
              </w:rPr>
              <w:t>Estende d</w:t>
            </w:r>
            <w:r w:rsidR="003C0A02" w:rsidRPr="00FD2DD3">
              <w:rPr>
                <w:rFonts w:ascii="Bookman Old Style" w:hAnsi="Bookman Old Style" w:cs="Aptos"/>
                <w:kern w:val="0"/>
              </w:rPr>
              <w:t>a 48 mesi a 54 mesi</w:t>
            </w:r>
            <w:r w:rsidRPr="00FD2DD3">
              <w:rPr>
                <w:rFonts w:ascii="Bookman Old Style" w:hAnsi="Bookman Old Style" w:cs="Aptos"/>
                <w:kern w:val="0"/>
              </w:rPr>
              <w:t xml:space="preserve"> per l'adozione di disposizioni modificative e integrative del regolamento</w:t>
            </w:r>
            <w:r w:rsidR="00CA7DDC" w:rsidRPr="00FD2DD3">
              <w:rPr>
                <w:rFonts w:ascii="Bookman Old Style" w:hAnsi="Bookman Old Style"/>
              </w:rPr>
              <w:t xml:space="preserve"> di </w:t>
            </w:r>
            <w:r w:rsidR="00CA7DDC" w:rsidRPr="00FD2DD3">
              <w:rPr>
                <w:rFonts w:ascii="Bookman Old Style" w:hAnsi="Bookman Old Style" w:cs="Aptos"/>
                <w:kern w:val="0"/>
              </w:rPr>
              <w:t xml:space="preserve">individuazione degli interventi esclusi dall'autorizzazione paesaggistica o sottoposti a </w:t>
            </w:r>
            <w:r w:rsidR="00CA7DDC" w:rsidRPr="00FD2DD3">
              <w:rPr>
                <w:rFonts w:ascii="Bookman Old Style" w:hAnsi="Bookman Old Style" w:cs="Aptos"/>
                <w:kern w:val="0"/>
              </w:rPr>
              <w:lastRenderedPageBreak/>
              <w:t>procedura autorizzatoria semplificata</w:t>
            </w:r>
          </w:p>
        </w:tc>
      </w:tr>
      <w:tr w:rsidR="005406E7" w:rsidRPr="00F7450F" w14:paraId="222413DF" w14:textId="77777777" w:rsidTr="007F7BFD">
        <w:tc>
          <w:tcPr>
            <w:tcW w:w="3209" w:type="dxa"/>
          </w:tcPr>
          <w:p w14:paraId="6FA26044" w14:textId="1BEB637B" w:rsidR="005406E7" w:rsidRPr="00FD2DD3" w:rsidRDefault="0079060A" w:rsidP="005406E7">
            <w:pPr>
              <w:rPr>
                <w:rFonts w:ascii="Bookman Old Style" w:hAnsi="Bookman Old Style"/>
                <w:color w:val="333333"/>
              </w:rPr>
            </w:pPr>
            <w:r w:rsidRPr="00FD2DD3">
              <w:rPr>
                <w:rFonts w:ascii="Bookman Old Style" w:hAnsi="Bookman Old Style"/>
                <w:color w:val="333333"/>
              </w:rPr>
              <w:lastRenderedPageBreak/>
              <w:t>Art. 10-septies, comma 1, del decreto-legge n. 21/</w:t>
            </w:r>
            <w:r w:rsidR="00F727CF" w:rsidRPr="00FD2DD3">
              <w:rPr>
                <w:rFonts w:ascii="Bookman Old Style" w:hAnsi="Bookman Old Style"/>
                <w:color w:val="333333"/>
              </w:rPr>
              <w:t xml:space="preserve">2022, convertito </w:t>
            </w:r>
            <w:r w:rsidRPr="00FD2DD3">
              <w:rPr>
                <w:rFonts w:ascii="Bookman Old Style" w:hAnsi="Bookman Old Style"/>
                <w:color w:val="333333"/>
              </w:rPr>
              <w:t>in legge n. 51</w:t>
            </w:r>
            <w:r w:rsidR="00F727CF" w:rsidRPr="00FD2DD3">
              <w:rPr>
                <w:rFonts w:ascii="Bookman Old Style" w:hAnsi="Bookman Old Style"/>
                <w:color w:val="333333"/>
              </w:rPr>
              <w:t>/2022</w:t>
            </w:r>
          </w:p>
        </w:tc>
        <w:tc>
          <w:tcPr>
            <w:tcW w:w="3209" w:type="dxa"/>
          </w:tcPr>
          <w:p w14:paraId="4353F8DB" w14:textId="7DB35A65" w:rsidR="005406E7" w:rsidRPr="00FD2DD3" w:rsidRDefault="00B90FD0" w:rsidP="005406E7">
            <w:pPr>
              <w:rPr>
                <w:rFonts w:ascii="Bookman Old Style" w:hAnsi="Bookman Old Style"/>
                <w:color w:val="333333"/>
              </w:rPr>
            </w:pPr>
            <w:r w:rsidRPr="00FD2DD3">
              <w:rPr>
                <w:rFonts w:ascii="Bookman Old Style" w:hAnsi="Bookman Old Style"/>
                <w:color w:val="333333"/>
              </w:rPr>
              <w:t>Interventi di edilizia privata</w:t>
            </w:r>
          </w:p>
        </w:tc>
        <w:tc>
          <w:tcPr>
            <w:tcW w:w="3210" w:type="dxa"/>
          </w:tcPr>
          <w:p w14:paraId="077EAF9F" w14:textId="5068F7A0" w:rsidR="005406E7" w:rsidRPr="00FD2DD3" w:rsidRDefault="00B97061" w:rsidP="005406E7">
            <w:pPr>
              <w:rPr>
                <w:rFonts w:ascii="Bookman Old Style" w:hAnsi="Bookman Old Style"/>
                <w:color w:val="333333"/>
              </w:rPr>
            </w:pPr>
            <w:r w:rsidRPr="00FD2DD3">
              <w:rPr>
                <w:rFonts w:ascii="Bookman Old Style" w:hAnsi="Bookman Old Style" w:cs="Aptos"/>
                <w:kern w:val="0"/>
              </w:rPr>
              <w:t>Estende di 12 mesi</w:t>
            </w:r>
            <w:r w:rsidR="00CA6D93" w:rsidRPr="00FD2DD3">
              <w:rPr>
                <w:rFonts w:ascii="Bookman Old Style" w:hAnsi="Bookman Old Style" w:cs="Aptos"/>
                <w:kern w:val="0"/>
              </w:rPr>
              <w:t xml:space="preserve"> le proroghe per l’avvio e l’ultimazione degli interventi di edilizia privata</w:t>
            </w:r>
          </w:p>
        </w:tc>
      </w:tr>
      <w:tr w:rsidR="005406E7" w:rsidRPr="00F7450F" w14:paraId="459CCCE4" w14:textId="77777777" w:rsidTr="007F7BFD">
        <w:tc>
          <w:tcPr>
            <w:tcW w:w="3209" w:type="dxa"/>
          </w:tcPr>
          <w:p w14:paraId="7114C335" w14:textId="1BE164A6" w:rsidR="005406E7" w:rsidRPr="00FD2DD3" w:rsidRDefault="00247ECF" w:rsidP="005406E7">
            <w:pPr>
              <w:rPr>
                <w:rFonts w:ascii="Bookman Old Style" w:hAnsi="Bookman Old Style"/>
                <w:color w:val="333333"/>
              </w:rPr>
            </w:pPr>
            <w:r w:rsidRPr="00FD2DD3">
              <w:rPr>
                <w:rFonts w:ascii="Bookman Old Style" w:hAnsi="Bookman Old Style"/>
                <w:color w:val="333333"/>
              </w:rPr>
              <w:t>A decorrere dalla data di cui all’a</w:t>
            </w:r>
            <w:r w:rsidR="0041711C" w:rsidRPr="00FD2DD3">
              <w:rPr>
                <w:rFonts w:ascii="Bookman Old Style" w:hAnsi="Bookman Old Style"/>
                <w:color w:val="333333"/>
              </w:rPr>
              <w:t>rt. 13, comma 1, lettera c), del regolamento di cui al decreto del Ministero dell'ambiente e della sicurezza energetica 4 aprile 2023, n. 59</w:t>
            </w:r>
          </w:p>
        </w:tc>
        <w:tc>
          <w:tcPr>
            <w:tcW w:w="3209" w:type="dxa"/>
          </w:tcPr>
          <w:p w14:paraId="4491B44D" w14:textId="360B4AE8" w:rsidR="005406E7" w:rsidRPr="00FD2DD3" w:rsidRDefault="00A9519A" w:rsidP="005406E7">
            <w:pPr>
              <w:rPr>
                <w:rFonts w:ascii="Bookman Old Style" w:hAnsi="Bookman Old Style"/>
                <w:color w:val="333333"/>
              </w:rPr>
            </w:pPr>
            <w:r w:rsidRPr="00FD2DD3">
              <w:rPr>
                <w:rFonts w:ascii="Bookman Old Style" w:hAnsi="Bookman Old Style"/>
                <w:color w:val="333333"/>
              </w:rPr>
              <w:t>Emissione cartacea formulario identificazione rifiuti</w:t>
            </w:r>
          </w:p>
        </w:tc>
        <w:tc>
          <w:tcPr>
            <w:tcW w:w="3210" w:type="dxa"/>
          </w:tcPr>
          <w:p w14:paraId="24BEC51E" w14:textId="35A4A5A9" w:rsidR="005406E7" w:rsidRPr="00FD2DD3" w:rsidRDefault="00A9519A" w:rsidP="005406E7">
            <w:pPr>
              <w:rPr>
                <w:rFonts w:ascii="Bookman Old Style" w:hAnsi="Bookman Old Style" w:cs="Aptos"/>
                <w:kern w:val="0"/>
              </w:rPr>
            </w:pPr>
            <w:r w:rsidRPr="00FD2DD3">
              <w:rPr>
                <w:rFonts w:ascii="Bookman Old Style" w:hAnsi="Bookman Old Style" w:cs="Aptos"/>
                <w:kern w:val="0"/>
              </w:rPr>
              <w:t>Fino al 15 settembre 2026</w:t>
            </w:r>
          </w:p>
        </w:tc>
      </w:tr>
      <w:tr w:rsidR="005406E7" w:rsidRPr="00F7450F" w14:paraId="3CE07D63" w14:textId="77777777" w:rsidTr="007F7BFD">
        <w:tc>
          <w:tcPr>
            <w:tcW w:w="3209" w:type="dxa"/>
          </w:tcPr>
          <w:p w14:paraId="6DB647EF" w14:textId="1DFE4159" w:rsidR="005406E7" w:rsidRPr="00FD2DD3" w:rsidRDefault="00A0510E" w:rsidP="005406E7">
            <w:pPr>
              <w:rPr>
                <w:rFonts w:ascii="Bookman Old Style" w:hAnsi="Bookman Old Style"/>
                <w:color w:val="333333"/>
              </w:rPr>
            </w:pPr>
            <w:r w:rsidRPr="00FD2DD3">
              <w:rPr>
                <w:rFonts w:ascii="Bookman Old Style" w:hAnsi="Bookman Old Style"/>
                <w:color w:val="333333"/>
              </w:rPr>
              <w:t>Art.17 del regolamento di cui al decreto del Ministro dell'ambiente e della sicurezza energetica 4 aprile 2023, n. 59</w:t>
            </w:r>
          </w:p>
        </w:tc>
        <w:tc>
          <w:tcPr>
            <w:tcW w:w="3209" w:type="dxa"/>
          </w:tcPr>
          <w:p w14:paraId="04F28600" w14:textId="075F1834" w:rsidR="005406E7" w:rsidRPr="00FD2DD3" w:rsidRDefault="00247ECF" w:rsidP="005406E7">
            <w:pPr>
              <w:rPr>
                <w:rFonts w:ascii="Bookman Old Style" w:hAnsi="Bookman Old Style"/>
                <w:color w:val="333333"/>
              </w:rPr>
            </w:pPr>
            <w:r w:rsidRPr="00FD2DD3">
              <w:rPr>
                <w:rFonts w:ascii="Bookman Old Style" w:hAnsi="Bookman Old Style"/>
                <w:color w:val="333333"/>
              </w:rPr>
              <w:t>Albo gestori ambientali trasportatori rifiuti</w:t>
            </w:r>
            <w:r w:rsidR="00A0510E" w:rsidRPr="00FD2DD3">
              <w:rPr>
                <w:rFonts w:ascii="Bookman Old Style" w:hAnsi="Bookman Old Style"/>
                <w:color w:val="333333"/>
              </w:rPr>
              <w:t xml:space="preserve"> - </w:t>
            </w:r>
            <w:r w:rsidR="00A0510E" w:rsidRPr="00FD2DD3">
              <w:rPr>
                <w:rFonts w:ascii="Bookman Old Style" w:hAnsi="Bookman Old Style" w:cs="Aptos"/>
                <w:kern w:val="0"/>
              </w:rPr>
              <w:t>tecnologie di geolocalizzazione</w:t>
            </w:r>
          </w:p>
        </w:tc>
        <w:tc>
          <w:tcPr>
            <w:tcW w:w="3210" w:type="dxa"/>
          </w:tcPr>
          <w:p w14:paraId="670B704F" w14:textId="0B12A363" w:rsidR="005406E7" w:rsidRPr="00FD2DD3" w:rsidRDefault="00AD0C7D" w:rsidP="005406E7">
            <w:pPr>
              <w:rPr>
                <w:rFonts w:ascii="Bookman Old Style" w:hAnsi="Bookman Old Style"/>
                <w:color w:val="333333"/>
              </w:rPr>
            </w:pPr>
            <w:r w:rsidRPr="00FD2DD3">
              <w:rPr>
                <w:rFonts w:ascii="Bookman Old Style" w:hAnsi="Bookman Old Style" w:cs="Aptos"/>
                <w:kern w:val="0"/>
              </w:rPr>
              <w:t>30 giugno 2026</w:t>
            </w:r>
          </w:p>
        </w:tc>
      </w:tr>
      <w:tr w:rsidR="00A0510E" w:rsidRPr="00F7450F" w14:paraId="1CF83C09" w14:textId="77777777" w:rsidTr="007F7BFD">
        <w:tc>
          <w:tcPr>
            <w:tcW w:w="3209" w:type="dxa"/>
          </w:tcPr>
          <w:p w14:paraId="6AC38E6D" w14:textId="53634CAC" w:rsidR="00A0510E" w:rsidRPr="00FD2DD3" w:rsidRDefault="002029B0" w:rsidP="005406E7">
            <w:pPr>
              <w:rPr>
                <w:rFonts w:ascii="Bookman Old Style" w:hAnsi="Bookman Old Style"/>
                <w:color w:val="333333"/>
              </w:rPr>
            </w:pPr>
            <w:r w:rsidRPr="00FD2DD3">
              <w:rPr>
                <w:rFonts w:ascii="Bookman Old Style" w:hAnsi="Bookman Old Style"/>
                <w:color w:val="333333"/>
              </w:rPr>
              <w:t>Art. 258, comma 10-bis</w:t>
            </w:r>
            <w:r w:rsidR="00B86CF2" w:rsidRPr="00FD2DD3">
              <w:rPr>
                <w:rFonts w:ascii="Bookman Old Style" w:hAnsi="Bookman Old Style"/>
                <w:color w:val="333333"/>
              </w:rPr>
              <w:t>,</w:t>
            </w:r>
            <w:r w:rsidRPr="00FD2DD3">
              <w:rPr>
                <w:rFonts w:ascii="Bookman Old Style" w:hAnsi="Bookman Old Style"/>
                <w:color w:val="333333"/>
              </w:rPr>
              <w:t xml:space="preserve"> del decreto legislativo 3 aprile 2006, n. 152</w:t>
            </w:r>
          </w:p>
        </w:tc>
        <w:tc>
          <w:tcPr>
            <w:tcW w:w="3209" w:type="dxa"/>
          </w:tcPr>
          <w:p w14:paraId="6B3BD04D" w14:textId="0429BD22" w:rsidR="00A0510E" w:rsidRPr="00FD2DD3" w:rsidRDefault="00A0510E" w:rsidP="005406E7">
            <w:pPr>
              <w:rPr>
                <w:rFonts w:ascii="Bookman Old Style" w:hAnsi="Bookman Old Style"/>
                <w:color w:val="333333"/>
              </w:rPr>
            </w:pPr>
            <w:r w:rsidRPr="00FD2DD3">
              <w:rPr>
                <w:rFonts w:ascii="Bookman Old Style" w:hAnsi="Bookman Old Style" w:cs="Aptos"/>
                <w:kern w:val="0"/>
              </w:rPr>
              <w:t>Iscrizione RENTRI</w:t>
            </w:r>
          </w:p>
        </w:tc>
        <w:tc>
          <w:tcPr>
            <w:tcW w:w="3210" w:type="dxa"/>
          </w:tcPr>
          <w:p w14:paraId="70B2F89B" w14:textId="64DBF47C" w:rsidR="00A0510E" w:rsidRPr="00FD2DD3" w:rsidRDefault="00A0510E" w:rsidP="005406E7">
            <w:pPr>
              <w:rPr>
                <w:rFonts w:ascii="Bookman Old Style" w:hAnsi="Bookman Old Style" w:cs="Aptos"/>
                <w:kern w:val="0"/>
              </w:rPr>
            </w:pPr>
            <w:r w:rsidRPr="00FD2DD3">
              <w:rPr>
                <w:rFonts w:ascii="Bookman Old Style" w:hAnsi="Bookman Old Style" w:cs="Aptos"/>
                <w:kern w:val="0"/>
              </w:rPr>
              <w:t>Estende da 60 a 120 giorni il termine entro il quale enti e imprese devono iscriversi al Registro elettronico nazionale per la tracciabilità dei rifiuti</w:t>
            </w:r>
          </w:p>
        </w:tc>
      </w:tr>
    </w:tbl>
    <w:p w14:paraId="11BD8B26" w14:textId="77777777" w:rsidR="000329B4" w:rsidRPr="00F7450F" w:rsidRDefault="000329B4"/>
    <w:sectPr w:rsidR="000329B4" w:rsidRPr="00F7450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EECF" w14:textId="77777777" w:rsidR="00812C47" w:rsidRDefault="00812C47" w:rsidP="00D545F2">
      <w:pPr>
        <w:spacing w:after="0" w:line="240" w:lineRule="auto"/>
      </w:pPr>
      <w:r>
        <w:separator/>
      </w:r>
    </w:p>
  </w:endnote>
  <w:endnote w:type="continuationSeparator" w:id="0">
    <w:p w14:paraId="2E8AE593" w14:textId="77777777" w:rsidR="00812C47" w:rsidRDefault="00812C47" w:rsidP="00D5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64751"/>
      <w:docPartObj>
        <w:docPartGallery w:val="Page Numbers (Bottom of Page)"/>
        <w:docPartUnique/>
      </w:docPartObj>
    </w:sdtPr>
    <w:sdtEndPr/>
    <w:sdtContent>
      <w:p w14:paraId="14E0D1D3" w14:textId="07C0DDF6" w:rsidR="00D545F2" w:rsidRDefault="00D545F2">
        <w:pPr>
          <w:pStyle w:val="Pidipagina"/>
          <w:jc w:val="center"/>
        </w:pPr>
        <w:r>
          <w:fldChar w:fldCharType="begin"/>
        </w:r>
        <w:r>
          <w:instrText>PAGE   \* MERGEFORMAT</w:instrText>
        </w:r>
        <w:r>
          <w:fldChar w:fldCharType="separate"/>
        </w:r>
        <w:r>
          <w:t>2</w:t>
        </w:r>
        <w:r>
          <w:fldChar w:fldCharType="end"/>
        </w:r>
      </w:p>
    </w:sdtContent>
  </w:sdt>
  <w:p w14:paraId="2CDDF1AF" w14:textId="77777777" w:rsidR="00D545F2" w:rsidRDefault="00D545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7B4C" w14:textId="77777777" w:rsidR="00812C47" w:rsidRDefault="00812C47" w:rsidP="00D545F2">
      <w:pPr>
        <w:spacing w:after="0" w:line="240" w:lineRule="auto"/>
      </w:pPr>
      <w:r>
        <w:separator/>
      </w:r>
    </w:p>
  </w:footnote>
  <w:footnote w:type="continuationSeparator" w:id="0">
    <w:p w14:paraId="7FD80CDD" w14:textId="77777777" w:rsidR="00812C47" w:rsidRDefault="00812C47" w:rsidP="00D5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EE8"/>
    <w:multiLevelType w:val="hybridMultilevel"/>
    <w:tmpl w:val="CEFAF93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1A57001"/>
    <w:multiLevelType w:val="hybridMultilevel"/>
    <w:tmpl w:val="0EA893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5D7C3F"/>
    <w:multiLevelType w:val="hybridMultilevel"/>
    <w:tmpl w:val="510CA35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9FD023A"/>
    <w:multiLevelType w:val="hybridMultilevel"/>
    <w:tmpl w:val="49D4AB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D462A1"/>
    <w:multiLevelType w:val="hybridMultilevel"/>
    <w:tmpl w:val="CAC0A6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496913"/>
    <w:multiLevelType w:val="hybridMultilevel"/>
    <w:tmpl w:val="9C7608C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92616671">
    <w:abstractNumId w:val="1"/>
  </w:num>
  <w:num w:numId="2" w16cid:durableId="1328900728">
    <w:abstractNumId w:val="3"/>
  </w:num>
  <w:num w:numId="3" w16cid:durableId="1809080179">
    <w:abstractNumId w:val="0"/>
  </w:num>
  <w:num w:numId="4" w16cid:durableId="1528643804">
    <w:abstractNumId w:val="4"/>
  </w:num>
  <w:num w:numId="5" w16cid:durableId="786581623">
    <w:abstractNumId w:val="5"/>
  </w:num>
  <w:num w:numId="6" w16cid:durableId="204932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1"/>
    <w:rsid w:val="00001B7B"/>
    <w:rsid w:val="00010EBB"/>
    <w:rsid w:val="00023FBA"/>
    <w:rsid w:val="00030235"/>
    <w:rsid w:val="000329B4"/>
    <w:rsid w:val="00071EAE"/>
    <w:rsid w:val="000847AD"/>
    <w:rsid w:val="00090033"/>
    <w:rsid w:val="000A1AA4"/>
    <w:rsid w:val="000A4744"/>
    <w:rsid w:val="000C17CD"/>
    <w:rsid w:val="000C27E9"/>
    <w:rsid w:val="001222CD"/>
    <w:rsid w:val="00137F29"/>
    <w:rsid w:val="00145CA5"/>
    <w:rsid w:val="00151BCA"/>
    <w:rsid w:val="00155167"/>
    <w:rsid w:val="00155731"/>
    <w:rsid w:val="00157885"/>
    <w:rsid w:val="001904C8"/>
    <w:rsid w:val="0019755B"/>
    <w:rsid w:val="001D7968"/>
    <w:rsid w:val="002029B0"/>
    <w:rsid w:val="00205459"/>
    <w:rsid w:val="00205DAD"/>
    <w:rsid w:val="00241736"/>
    <w:rsid w:val="00247ECF"/>
    <w:rsid w:val="00250A56"/>
    <w:rsid w:val="00281690"/>
    <w:rsid w:val="00291D24"/>
    <w:rsid w:val="00297FAB"/>
    <w:rsid w:val="002B2258"/>
    <w:rsid w:val="002B2DE4"/>
    <w:rsid w:val="002B3778"/>
    <w:rsid w:val="002C0D5B"/>
    <w:rsid w:val="002C7D03"/>
    <w:rsid w:val="002D279D"/>
    <w:rsid w:val="002E232B"/>
    <w:rsid w:val="002F0155"/>
    <w:rsid w:val="002F2742"/>
    <w:rsid w:val="00310783"/>
    <w:rsid w:val="00315772"/>
    <w:rsid w:val="00331DAC"/>
    <w:rsid w:val="003610CD"/>
    <w:rsid w:val="003614C4"/>
    <w:rsid w:val="00365E0F"/>
    <w:rsid w:val="00372449"/>
    <w:rsid w:val="00397078"/>
    <w:rsid w:val="003B05AB"/>
    <w:rsid w:val="003B07D5"/>
    <w:rsid w:val="003C0A02"/>
    <w:rsid w:val="003C6CB5"/>
    <w:rsid w:val="003D1F55"/>
    <w:rsid w:val="003D2530"/>
    <w:rsid w:val="003D350C"/>
    <w:rsid w:val="003D7D73"/>
    <w:rsid w:val="003F623D"/>
    <w:rsid w:val="00414970"/>
    <w:rsid w:val="0041711C"/>
    <w:rsid w:val="004219B1"/>
    <w:rsid w:val="004227B2"/>
    <w:rsid w:val="004261B9"/>
    <w:rsid w:val="00430B32"/>
    <w:rsid w:val="004450E4"/>
    <w:rsid w:val="00451F77"/>
    <w:rsid w:val="00484965"/>
    <w:rsid w:val="004A7BA0"/>
    <w:rsid w:val="004D72AF"/>
    <w:rsid w:val="004D77A7"/>
    <w:rsid w:val="004E387D"/>
    <w:rsid w:val="004E3EC6"/>
    <w:rsid w:val="004F4474"/>
    <w:rsid w:val="00501503"/>
    <w:rsid w:val="00502594"/>
    <w:rsid w:val="00507078"/>
    <w:rsid w:val="00525490"/>
    <w:rsid w:val="005309D8"/>
    <w:rsid w:val="005406E7"/>
    <w:rsid w:val="00544192"/>
    <w:rsid w:val="0057284A"/>
    <w:rsid w:val="00572CE1"/>
    <w:rsid w:val="00580ABD"/>
    <w:rsid w:val="005951F7"/>
    <w:rsid w:val="005968FB"/>
    <w:rsid w:val="005A2339"/>
    <w:rsid w:val="005F7D3D"/>
    <w:rsid w:val="00602889"/>
    <w:rsid w:val="006223AA"/>
    <w:rsid w:val="0062516D"/>
    <w:rsid w:val="00677CEB"/>
    <w:rsid w:val="006801BA"/>
    <w:rsid w:val="006816DB"/>
    <w:rsid w:val="006919EB"/>
    <w:rsid w:val="006953A9"/>
    <w:rsid w:val="006960AA"/>
    <w:rsid w:val="006D6880"/>
    <w:rsid w:val="006F2D91"/>
    <w:rsid w:val="006F3B85"/>
    <w:rsid w:val="00700261"/>
    <w:rsid w:val="00701D67"/>
    <w:rsid w:val="007135C0"/>
    <w:rsid w:val="00724DC6"/>
    <w:rsid w:val="00726C54"/>
    <w:rsid w:val="007276BB"/>
    <w:rsid w:val="007449F7"/>
    <w:rsid w:val="00751BE6"/>
    <w:rsid w:val="00770770"/>
    <w:rsid w:val="0079060A"/>
    <w:rsid w:val="00793D0A"/>
    <w:rsid w:val="00796A4F"/>
    <w:rsid w:val="007B5852"/>
    <w:rsid w:val="007C09C9"/>
    <w:rsid w:val="007C6C1B"/>
    <w:rsid w:val="007D1366"/>
    <w:rsid w:val="007D142E"/>
    <w:rsid w:val="007D4189"/>
    <w:rsid w:val="007E113A"/>
    <w:rsid w:val="007E1186"/>
    <w:rsid w:val="007F53D0"/>
    <w:rsid w:val="007F57DC"/>
    <w:rsid w:val="007F7BFD"/>
    <w:rsid w:val="008110C9"/>
    <w:rsid w:val="00812C47"/>
    <w:rsid w:val="00827CBE"/>
    <w:rsid w:val="00850BED"/>
    <w:rsid w:val="00851704"/>
    <w:rsid w:val="0086698D"/>
    <w:rsid w:val="0089105B"/>
    <w:rsid w:val="008B2B11"/>
    <w:rsid w:val="008C15A9"/>
    <w:rsid w:val="008D2D8A"/>
    <w:rsid w:val="008E1562"/>
    <w:rsid w:val="00912B8E"/>
    <w:rsid w:val="0091769B"/>
    <w:rsid w:val="00922426"/>
    <w:rsid w:val="00937189"/>
    <w:rsid w:val="00940DDA"/>
    <w:rsid w:val="00942DCB"/>
    <w:rsid w:val="009545B8"/>
    <w:rsid w:val="009572EF"/>
    <w:rsid w:val="00976D3B"/>
    <w:rsid w:val="00985D83"/>
    <w:rsid w:val="009A43D8"/>
    <w:rsid w:val="009C7020"/>
    <w:rsid w:val="009D6DD3"/>
    <w:rsid w:val="009E0968"/>
    <w:rsid w:val="00A0510E"/>
    <w:rsid w:val="00A12341"/>
    <w:rsid w:val="00A15260"/>
    <w:rsid w:val="00A24D49"/>
    <w:rsid w:val="00A50EBB"/>
    <w:rsid w:val="00A5269F"/>
    <w:rsid w:val="00A674C8"/>
    <w:rsid w:val="00A7140C"/>
    <w:rsid w:val="00A93569"/>
    <w:rsid w:val="00A9519A"/>
    <w:rsid w:val="00AB761B"/>
    <w:rsid w:val="00AD0C7D"/>
    <w:rsid w:val="00AD442E"/>
    <w:rsid w:val="00B01B6B"/>
    <w:rsid w:val="00B05330"/>
    <w:rsid w:val="00B10230"/>
    <w:rsid w:val="00B213D7"/>
    <w:rsid w:val="00B4007D"/>
    <w:rsid w:val="00B42BD1"/>
    <w:rsid w:val="00B52386"/>
    <w:rsid w:val="00B54332"/>
    <w:rsid w:val="00B55B0A"/>
    <w:rsid w:val="00B61517"/>
    <w:rsid w:val="00B86CF2"/>
    <w:rsid w:val="00B90FD0"/>
    <w:rsid w:val="00B97061"/>
    <w:rsid w:val="00B97BD2"/>
    <w:rsid w:val="00BA4240"/>
    <w:rsid w:val="00BA7CDA"/>
    <w:rsid w:val="00BC1EE1"/>
    <w:rsid w:val="00BD3BA2"/>
    <w:rsid w:val="00BE475C"/>
    <w:rsid w:val="00C52D6B"/>
    <w:rsid w:val="00C60FBF"/>
    <w:rsid w:val="00C718DB"/>
    <w:rsid w:val="00C81CC0"/>
    <w:rsid w:val="00C85F87"/>
    <w:rsid w:val="00C85FBD"/>
    <w:rsid w:val="00CA6D93"/>
    <w:rsid w:val="00CA7DDC"/>
    <w:rsid w:val="00CC3F71"/>
    <w:rsid w:val="00CD1C77"/>
    <w:rsid w:val="00CE0CCC"/>
    <w:rsid w:val="00CE1189"/>
    <w:rsid w:val="00CE1AF0"/>
    <w:rsid w:val="00CF6F7E"/>
    <w:rsid w:val="00D054B6"/>
    <w:rsid w:val="00D37C2E"/>
    <w:rsid w:val="00D42479"/>
    <w:rsid w:val="00D43BCB"/>
    <w:rsid w:val="00D43FDF"/>
    <w:rsid w:val="00D545F2"/>
    <w:rsid w:val="00D63FDE"/>
    <w:rsid w:val="00DA3510"/>
    <w:rsid w:val="00DB5D04"/>
    <w:rsid w:val="00E01AE7"/>
    <w:rsid w:val="00E0295B"/>
    <w:rsid w:val="00E24102"/>
    <w:rsid w:val="00E54CB4"/>
    <w:rsid w:val="00E64E1F"/>
    <w:rsid w:val="00E9349A"/>
    <w:rsid w:val="00E94184"/>
    <w:rsid w:val="00EA0D7C"/>
    <w:rsid w:val="00EB6269"/>
    <w:rsid w:val="00EC02C3"/>
    <w:rsid w:val="00EC1B72"/>
    <w:rsid w:val="00ED17E1"/>
    <w:rsid w:val="00ED46FF"/>
    <w:rsid w:val="00ED6F70"/>
    <w:rsid w:val="00EF026E"/>
    <w:rsid w:val="00EF226C"/>
    <w:rsid w:val="00F05AFF"/>
    <w:rsid w:val="00F30241"/>
    <w:rsid w:val="00F33C5A"/>
    <w:rsid w:val="00F45CC6"/>
    <w:rsid w:val="00F727CF"/>
    <w:rsid w:val="00F7450F"/>
    <w:rsid w:val="00FB740B"/>
    <w:rsid w:val="00FC67FB"/>
    <w:rsid w:val="00FD2DD3"/>
    <w:rsid w:val="00FD3CCF"/>
    <w:rsid w:val="00FD70D4"/>
    <w:rsid w:val="00FE027F"/>
    <w:rsid w:val="00FE4585"/>
    <w:rsid w:val="00FF4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4E31"/>
  <w15:chartTrackingRefBased/>
  <w15:docId w15:val="{A56ED451-E80D-4909-9ED2-FF008CEF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3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C3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C3F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C3F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C3F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C3F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3F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3F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3F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3F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C3F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C3F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C3F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C3F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C3F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3F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3F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3F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3F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3F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3F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3F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3F71"/>
    <w:rPr>
      <w:i/>
      <w:iCs/>
      <w:color w:val="404040" w:themeColor="text1" w:themeTint="BF"/>
    </w:rPr>
  </w:style>
  <w:style w:type="paragraph" w:styleId="Paragrafoelenco">
    <w:name w:val="List Paragraph"/>
    <w:basedOn w:val="Normale"/>
    <w:uiPriority w:val="34"/>
    <w:qFormat/>
    <w:rsid w:val="00CC3F71"/>
    <w:pPr>
      <w:ind w:left="720"/>
      <w:contextualSpacing/>
    </w:pPr>
  </w:style>
  <w:style w:type="character" w:styleId="Enfasiintensa">
    <w:name w:val="Intense Emphasis"/>
    <w:basedOn w:val="Carpredefinitoparagrafo"/>
    <w:uiPriority w:val="21"/>
    <w:qFormat/>
    <w:rsid w:val="00CC3F71"/>
    <w:rPr>
      <w:i/>
      <w:iCs/>
      <w:color w:val="0F4761" w:themeColor="accent1" w:themeShade="BF"/>
    </w:rPr>
  </w:style>
  <w:style w:type="paragraph" w:styleId="Citazioneintensa">
    <w:name w:val="Intense Quote"/>
    <w:basedOn w:val="Normale"/>
    <w:next w:val="Normale"/>
    <w:link w:val="CitazioneintensaCarattere"/>
    <w:uiPriority w:val="30"/>
    <w:qFormat/>
    <w:rsid w:val="00CC3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C3F71"/>
    <w:rPr>
      <w:i/>
      <w:iCs/>
      <w:color w:val="0F4761" w:themeColor="accent1" w:themeShade="BF"/>
    </w:rPr>
  </w:style>
  <w:style w:type="character" w:styleId="Riferimentointenso">
    <w:name w:val="Intense Reference"/>
    <w:basedOn w:val="Carpredefinitoparagrafo"/>
    <w:uiPriority w:val="32"/>
    <w:qFormat/>
    <w:rsid w:val="00CC3F71"/>
    <w:rPr>
      <w:b/>
      <w:bCs/>
      <w:smallCaps/>
      <w:color w:val="0F4761" w:themeColor="accent1" w:themeShade="BF"/>
      <w:spacing w:val="5"/>
    </w:rPr>
  </w:style>
  <w:style w:type="paragraph" w:styleId="Intestazione">
    <w:name w:val="header"/>
    <w:basedOn w:val="Normale"/>
    <w:link w:val="IntestazioneCarattere"/>
    <w:uiPriority w:val="99"/>
    <w:unhideWhenUsed/>
    <w:rsid w:val="00D545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45F2"/>
  </w:style>
  <w:style w:type="paragraph" w:styleId="Pidipagina">
    <w:name w:val="footer"/>
    <w:basedOn w:val="Normale"/>
    <w:link w:val="PidipaginaCarattere"/>
    <w:uiPriority w:val="99"/>
    <w:unhideWhenUsed/>
    <w:rsid w:val="00D545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45F2"/>
  </w:style>
  <w:style w:type="table" w:styleId="Grigliatabella">
    <w:name w:val="Table Grid"/>
    <w:basedOn w:val="Tabellanormale"/>
    <w:uiPriority w:val="39"/>
    <w:rsid w:val="007F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953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1827</Words>
  <Characters>10417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Sorrenti</dc:creator>
  <cp:keywords/>
  <dc:description/>
  <cp:lastModifiedBy>Tiziana Caponi</cp:lastModifiedBy>
  <cp:revision>4</cp:revision>
  <dcterms:created xsi:type="dcterms:W3CDTF">2026-02-24T09:58:00Z</dcterms:created>
  <dcterms:modified xsi:type="dcterms:W3CDTF">2026-02-24T10:54:00Z</dcterms:modified>
</cp:coreProperties>
</file>